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F71DB" w14:textId="77777777" w:rsidR="004561FB" w:rsidRPr="00D27935" w:rsidRDefault="004561FB" w:rsidP="0077799A">
      <w:pPr>
        <w:pStyle w:val="NoSpacing"/>
      </w:pPr>
      <w:bookmarkStart w:id="0" w:name="_GoBack"/>
      <w:bookmarkEnd w:id="0"/>
    </w:p>
    <w:p w14:paraId="09775A2B" w14:textId="7C7C1820" w:rsidR="002D0393" w:rsidRPr="00D27935" w:rsidRDefault="00A602BC" w:rsidP="00EA7172">
      <w:pPr>
        <w:rPr>
          <w:rFonts w:cs="Times New Roman"/>
          <w:b/>
        </w:rPr>
      </w:pPr>
      <w:r w:rsidRPr="00D27935">
        <w:rPr>
          <w:rFonts w:cs="Times New Roman"/>
          <w:b/>
        </w:rPr>
        <w:t>Objective</w:t>
      </w:r>
      <w:r w:rsidR="007305B1" w:rsidRPr="00D27935">
        <w:rPr>
          <w:rFonts w:cs="Times New Roman"/>
          <w:b/>
        </w:rPr>
        <w:t xml:space="preserve">: </w:t>
      </w:r>
      <w:r w:rsidR="002D0393" w:rsidRPr="00D27935">
        <w:rPr>
          <w:rFonts w:cs="Times New Roman"/>
        </w:rPr>
        <w:t>We hypothesize</w:t>
      </w:r>
      <w:r w:rsidR="00F82217">
        <w:rPr>
          <w:rFonts w:cs="Times New Roman"/>
        </w:rPr>
        <w:t>d</w:t>
      </w:r>
      <w:r w:rsidR="002D0393" w:rsidRPr="00D27935">
        <w:rPr>
          <w:rFonts w:cs="Times New Roman"/>
        </w:rPr>
        <w:t xml:space="preserve"> that si</w:t>
      </w:r>
      <w:r w:rsidR="007C54E1" w:rsidRPr="00D27935">
        <w:rPr>
          <w:rFonts w:cs="Times New Roman"/>
        </w:rPr>
        <w:t>gnificant variability exists regarding</w:t>
      </w:r>
      <w:r w:rsidR="002D0393" w:rsidRPr="00D27935">
        <w:rPr>
          <w:rFonts w:cs="Times New Roman"/>
        </w:rPr>
        <w:t xml:space="preserve"> </w:t>
      </w:r>
      <w:r w:rsidR="004D1262">
        <w:rPr>
          <w:rFonts w:cs="Times New Roman"/>
        </w:rPr>
        <w:t xml:space="preserve">adherence to all five AUA guideline recommended diagnostic tests and </w:t>
      </w:r>
      <w:r w:rsidR="00380B92">
        <w:rPr>
          <w:rFonts w:cs="Times New Roman"/>
        </w:rPr>
        <w:t xml:space="preserve">use of </w:t>
      </w:r>
      <w:r w:rsidR="00ED4873">
        <w:rPr>
          <w:rFonts w:cs="Times New Roman"/>
        </w:rPr>
        <w:t xml:space="preserve">imaging for </w:t>
      </w:r>
      <w:r w:rsidR="002D0393" w:rsidRPr="00D27935">
        <w:rPr>
          <w:rFonts w:cs="Times New Roman"/>
        </w:rPr>
        <w:t>staging (</w:t>
      </w:r>
      <w:r w:rsidR="007C54E1" w:rsidRPr="00D27935">
        <w:rPr>
          <w:rFonts w:cs="Times New Roman"/>
        </w:rPr>
        <w:t>chest x-ray</w:t>
      </w:r>
      <w:r w:rsidR="002D0393" w:rsidRPr="00D27935">
        <w:rPr>
          <w:rFonts w:cs="Times New Roman"/>
        </w:rPr>
        <w:t xml:space="preserve"> vs</w:t>
      </w:r>
      <w:r w:rsidR="007C54E1" w:rsidRPr="00D27935">
        <w:rPr>
          <w:rFonts w:cs="Times New Roman"/>
        </w:rPr>
        <w:t>.</w:t>
      </w:r>
      <w:r w:rsidR="002D0393" w:rsidRPr="00D27935">
        <w:rPr>
          <w:rFonts w:cs="Times New Roman"/>
        </w:rPr>
        <w:t xml:space="preserve"> chest CT vs</w:t>
      </w:r>
      <w:r w:rsidR="00DD021C">
        <w:rPr>
          <w:rFonts w:cs="Times New Roman"/>
        </w:rPr>
        <w:t>.</w:t>
      </w:r>
      <w:r w:rsidR="002D0393" w:rsidRPr="00D27935">
        <w:rPr>
          <w:rFonts w:cs="Times New Roman"/>
        </w:rPr>
        <w:t xml:space="preserve"> none</w:t>
      </w:r>
      <w:r w:rsidR="004D1262">
        <w:rPr>
          <w:rFonts w:cs="Times New Roman"/>
        </w:rPr>
        <w:t>)</w:t>
      </w:r>
      <w:r w:rsidR="007C54E1" w:rsidRPr="00D27935">
        <w:rPr>
          <w:rFonts w:cs="Times New Roman"/>
        </w:rPr>
        <w:t xml:space="preserve"> before treatment</w:t>
      </w:r>
      <w:r w:rsidR="002D0393" w:rsidRPr="00D27935">
        <w:rPr>
          <w:rFonts w:cs="Times New Roman"/>
        </w:rPr>
        <w:t>.</w:t>
      </w:r>
      <w:r w:rsidR="007305B1" w:rsidRPr="00D27935">
        <w:rPr>
          <w:rFonts w:cs="Times New Roman"/>
        </w:rPr>
        <w:t xml:space="preserve"> </w:t>
      </w:r>
      <w:r w:rsidR="00ED4873">
        <w:rPr>
          <w:rFonts w:cs="Times New Roman"/>
        </w:rPr>
        <w:t xml:space="preserve">The guidelines recommend </w:t>
      </w:r>
      <w:r w:rsidR="00ED4873" w:rsidRPr="005C2B20">
        <w:rPr>
          <w:rFonts w:cs="Times New Roman"/>
        </w:rPr>
        <w:t>patients</w:t>
      </w:r>
      <w:r w:rsidR="006C65CC">
        <w:rPr>
          <w:rFonts w:cs="Times New Roman"/>
        </w:rPr>
        <w:t xml:space="preserve"> with a small renal mass (SRM)</w:t>
      </w:r>
      <w:r w:rsidR="00ED4873" w:rsidRPr="005C2B20">
        <w:rPr>
          <w:rFonts w:cs="Times New Roman"/>
        </w:rPr>
        <w:t xml:space="preserve"> receive a complete metabolic profile (CMP), complete blood count (CBC), urinalysis (UA), </w:t>
      </w:r>
      <w:r w:rsidR="0064648A" w:rsidRPr="005C2B20">
        <w:rPr>
          <w:rFonts w:cs="Times New Roman"/>
        </w:rPr>
        <w:t>cross-sectional abdominal imaging (CT</w:t>
      </w:r>
      <w:r w:rsidR="0064648A">
        <w:rPr>
          <w:rFonts w:cs="Times New Roman"/>
        </w:rPr>
        <w:t>/</w:t>
      </w:r>
      <w:r w:rsidR="0064648A" w:rsidRPr="005C2B20">
        <w:rPr>
          <w:rFonts w:cs="Times New Roman"/>
        </w:rPr>
        <w:t>MRI)</w:t>
      </w:r>
      <w:r w:rsidR="00ED4873" w:rsidRPr="005C2B20">
        <w:rPr>
          <w:rFonts w:cs="Times New Roman"/>
        </w:rPr>
        <w:t>, and</w:t>
      </w:r>
      <w:r w:rsidR="0064648A">
        <w:rPr>
          <w:rFonts w:cs="Times New Roman"/>
        </w:rPr>
        <w:t xml:space="preserve"> </w:t>
      </w:r>
      <w:r w:rsidR="0064648A" w:rsidRPr="005C2B20">
        <w:rPr>
          <w:rFonts w:cs="Times New Roman"/>
        </w:rPr>
        <w:t>chest x-ray or CT thorax (</w:t>
      </w:r>
      <w:r w:rsidR="0064648A">
        <w:rPr>
          <w:rFonts w:cs="Times New Roman"/>
        </w:rPr>
        <w:t>CXR</w:t>
      </w:r>
      <w:r w:rsidR="0064648A" w:rsidRPr="005C2B20">
        <w:rPr>
          <w:rFonts w:cs="Times New Roman"/>
        </w:rPr>
        <w:t>)</w:t>
      </w:r>
      <w:r w:rsidR="00ED4873">
        <w:rPr>
          <w:rFonts w:cs="Times New Roman"/>
        </w:rPr>
        <w:t xml:space="preserve">. </w:t>
      </w:r>
      <w:r w:rsidR="007305B1" w:rsidRPr="00D27935">
        <w:rPr>
          <w:rFonts w:cs="Times New Roman"/>
        </w:rPr>
        <w:t xml:space="preserve">Our goal </w:t>
      </w:r>
      <w:r w:rsidR="00F82217">
        <w:rPr>
          <w:rFonts w:cs="Times New Roman"/>
        </w:rPr>
        <w:t>was</w:t>
      </w:r>
      <w:r w:rsidR="007305B1" w:rsidRPr="00D27935">
        <w:rPr>
          <w:rFonts w:cs="Times New Roman"/>
        </w:rPr>
        <w:t xml:space="preserve"> to describe the initial work-up initiated for renal mass patients</w:t>
      </w:r>
      <w:r w:rsidR="00D60D3F">
        <w:rPr>
          <w:rFonts w:cs="Times New Roman"/>
        </w:rPr>
        <w:t xml:space="preserve">, identify areas for </w:t>
      </w:r>
      <w:r w:rsidR="0064648A">
        <w:rPr>
          <w:rFonts w:cs="Times New Roman"/>
        </w:rPr>
        <w:t>quality improvement</w:t>
      </w:r>
      <w:r w:rsidR="00D60D3F">
        <w:rPr>
          <w:rFonts w:cs="Times New Roman"/>
        </w:rPr>
        <w:t>, and use the infrastructure</w:t>
      </w:r>
      <w:r w:rsidR="006F32B9">
        <w:rPr>
          <w:rFonts w:cs="Times New Roman"/>
        </w:rPr>
        <w:t xml:space="preserve"> </w:t>
      </w:r>
      <w:r w:rsidR="008A281F">
        <w:rPr>
          <w:rFonts w:cs="Times New Roman"/>
        </w:rPr>
        <w:t>of</w:t>
      </w:r>
      <w:r w:rsidR="00AC759F">
        <w:rPr>
          <w:rFonts w:cs="Times New Roman"/>
        </w:rPr>
        <w:t xml:space="preserve"> </w:t>
      </w:r>
      <w:r w:rsidR="00652752">
        <w:rPr>
          <w:rFonts w:cs="Times New Roman"/>
        </w:rPr>
        <w:t xml:space="preserve">the </w:t>
      </w:r>
      <w:r w:rsidR="004D50FD">
        <w:rPr>
          <w:rFonts w:cs="Times New Roman"/>
        </w:rPr>
        <w:t xml:space="preserve">Michigan Urological Surgery Improvement </w:t>
      </w:r>
      <w:r w:rsidR="0064648A">
        <w:rPr>
          <w:rFonts w:cs="Times New Roman"/>
        </w:rPr>
        <w:t>Collaborative</w:t>
      </w:r>
      <w:r w:rsidR="004D50FD">
        <w:rPr>
          <w:rFonts w:cs="Times New Roman"/>
        </w:rPr>
        <w:t xml:space="preserve"> (MUSIC)</w:t>
      </w:r>
      <w:r w:rsidR="00AC759F">
        <w:rPr>
          <w:rFonts w:cs="Times New Roman"/>
        </w:rPr>
        <w:t xml:space="preserve"> </w:t>
      </w:r>
      <w:r w:rsidR="00D60D3F">
        <w:rPr>
          <w:rFonts w:cs="Times New Roman"/>
        </w:rPr>
        <w:t xml:space="preserve">to facilitate </w:t>
      </w:r>
      <w:r w:rsidR="00380B92">
        <w:rPr>
          <w:rFonts w:cs="Times New Roman"/>
        </w:rPr>
        <w:t xml:space="preserve">practice-level </w:t>
      </w:r>
      <w:r w:rsidR="00D60D3F">
        <w:rPr>
          <w:rFonts w:cs="Times New Roman"/>
        </w:rPr>
        <w:t>change</w:t>
      </w:r>
      <w:r w:rsidR="00945DD1">
        <w:rPr>
          <w:rFonts w:cs="Times New Roman"/>
        </w:rPr>
        <w:t xml:space="preserve">. </w:t>
      </w:r>
      <w:r w:rsidR="004619EC">
        <w:t>Patients considered for this study included all</w:t>
      </w:r>
      <w:r w:rsidR="004619EC" w:rsidRPr="003D13DC">
        <w:t xml:space="preserve"> </w:t>
      </w:r>
      <w:r w:rsidR="004619EC">
        <w:t xml:space="preserve">new </w:t>
      </w:r>
      <w:r w:rsidR="004619EC" w:rsidRPr="003D13DC">
        <w:t xml:space="preserve">patients </w:t>
      </w:r>
      <w:r w:rsidR="004619EC">
        <w:t xml:space="preserve">presenting </w:t>
      </w:r>
      <w:r w:rsidR="00546358">
        <w:t>with a stage T1</w:t>
      </w:r>
      <w:r w:rsidR="006C65CC">
        <w:t xml:space="preserve"> </w:t>
      </w:r>
      <w:r w:rsidR="00CA34C9">
        <w:t>SRM (</w:t>
      </w:r>
      <w:r w:rsidR="00640DA0">
        <w:rPr>
          <w:rFonts w:cs="Times New Roman"/>
        </w:rPr>
        <w:t>≤</w:t>
      </w:r>
      <w:r w:rsidR="00CA34C9">
        <w:t xml:space="preserve"> 7cm) </w:t>
      </w:r>
      <w:r w:rsidR="004619EC">
        <w:t xml:space="preserve">at a participating MUSIC practice between September 2017 and </w:t>
      </w:r>
      <w:r w:rsidR="00E06EC9">
        <w:t>May 2019</w:t>
      </w:r>
      <w:r w:rsidR="004619EC">
        <w:t>.</w:t>
      </w:r>
      <w:r w:rsidR="004619EC" w:rsidRPr="003D13DC">
        <w:t xml:space="preserve"> </w:t>
      </w:r>
      <w:r w:rsidR="004619EC">
        <w:t xml:space="preserve">A total of 1072 patients were identified as having </w:t>
      </w:r>
      <w:r w:rsidR="00CA34C9">
        <w:t xml:space="preserve">a T1 </w:t>
      </w:r>
      <w:r w:rsidR="004619EC">
        <w:t xml:space="preserve">SRM over this period. </w:t>
      </w:r>
      <w:r w:rsidR="008A281F">
        <w:rPr>
          <w:rFonts w:cs="Times New Roman"/>
        </w:rPr>
        <w:t xml:space="preserve"> </w:t>
      </w:r>
    </w:p>
    <w:p w14:paraId="1D4EF84E" w14:textId="5725D6C2" w:rsidR="00F82217" w:rsidRPr="00007D81" w:rsidRDefault="00652752" w:rsidP="00EA7172">
      <w:r>
        <w:rPr>
          <w:rFonts w:cs="Times New Roman"/>
          <w:b/>
        </w:rPr>
        <w:t>Results</w:t>
      </w:r>
      <w:r w:rsidR="003841F1" w:rsidRPr="00D27935">
        <w:rPr>
          <w:rFonts w:cs="Times New Roman"/>
          <w:b/>
        </w:rPr>
        <w:t>:</w:t>
      </w:r>
      <w:r w:rsidR="003841F1">
        <w:rPr>
          <w:rFonts w:cs="Times New Roman"/>
          <w:b/>
        </w:rPr>
        <w:t xml:space="preserve"> </w:t>
      </w:r>
      <w:r w:rsidR="00A923A9">
        <w:t>Our results demonstrate that complete adherence to all five guideline recommendations was poor across all practices. Out of the 1072 patients included in the study</w:t>
      </w:r>
      <w:r w:rsidR="00640DA0">
        <w:t>,</w:t>
      </w:r>
      <w:r w:rsidR="00A923A9">
        <w:t xml:space="preserve"> only 198 (18.5%) received all five tests. One practice</w:t>
      </w:r>
      <w:r w:rsidR="00D27449">
        <w:t xml:space="preserve"> (C)</w:t>
      </w:r>
      <w:r w:rsidR="00A923A9">
        <w:t xml:space="preserve"> did not perform the complete workup on any of their patients while the most compliant practice</w:t>
      </w:r>
      <w:r w:rsidR="00D27449">
        <w:t xml:space="preserve"> (B)</w:t>
      </w:r>
      <w:r w:rsidR="00A923A9">
        <w:t xml:space="preserve"> performed complete workup on 28% of their patients. </w:t>
      </w:r>
      <w:r w:rsidR="00494F17">
        <w:t>Average a</w:t>
      </w:r>
      <w:r w:rsidR="00A923A9">
        <w:t>dherence varied</w:t>
      </w:r>
      <w:r w:rsidR="00733BFD">
        <w:t xml:space="preserve"> significantly (p &lt;0.05)</w:t>
      </w:r>
      <w:r w:rsidR="00A923A9">
        <w:t xml:space="preserve"> across each individual test with CT/MRI (91.9%) having the highest levels of adherence followed by CBC (73.1%), UA (70.8%), CMP (70.5%), and chest imaging (40.4%). </w:t>
      </w:r>
      <w:r w:rsidR="00494F17">
        <w:t xml:space="preserve">Furthermore, as can be seen in </w:t>
      </w:r>
      <w:r w:rsidR="00640DA0">
        <w:t>F</w:t>
      </w:r>
      <w:r w:rsidR="00494F17">
        <w:t xml:space="preserve">igure 1, adherence to each individual guideline component varied a great deal among practices. </w:t>
      </w:r>
      <w:r w:rsidR="00A923A9">
        <w:t xml:space="preserve">Urinalysis was the most variable test </w:t>
      </w:r>
      <w:r w:rsidR="00253CE7">
        <w:t>(low 43%, high 89%) while CT/MRI</w:t>
      </w:r>
      <w:r w:rsidR="00A923A9">
        <w:t xml:space="preserve"> was the least variable test </w:t>
      </w:r>
      <w:r w:rsidR="00DB12D5">
        <w:t>(low 83%, high 100%)</w:t>
      </w:r>
      <w:r w:rsidR="00A923A9">
        <w:t>. The diversity of the patient case load across all 8 practices was also wide ranging during the study period. The average number of patients per practice was 134 (S.D. 115), the median was 113, and the range was 17 to 339.</w:t>
      </w:r>
    </w:p>
    <w:p w14:paraId="22D56A4A" w14:textId="61ACC79C" w:rsidR="00CF3477" w:rsidRDefault="00652752" w:rsidP="005B45A1">
      <w:pPr>
        <w:rPr>
          <w:rFonts w:cs="Times New Roman"/>
        </w:rPr>
      </w:pPr>
      <w:r>
        <w:rPr>
          <w:rFonts w:cs="Times New Roman"/>
          <w:b/>
        </w:rPr>
        <w:t>Discussion</w:t>
      </w:r>
      <w:r w:rsidR="007305B1" w:rsidRPr="00E379A0">
        <w:rPr>
          <w:rFonts w:cs="Times New Roman"/>
          <w:b/>
        </w:rPr>
        <w:t>:</w:t>
      </w:r>
      <w:r w:rsidR="00D27935" w:rsidRPr="00E379A0">
        <w:rPr>
          <w:rFonts w:cs="Times New Roman"/>
        </w:rPr>
        <w:t xml:space="preserve"> </w:t>
      </w:r>
      <w:r w:rsidR="000133C8" w:rsidRPr="00E379A0">
        <w:rPr>
          <w:rFonts w:cs="Times New Roman"/>
        </w:rPr>
        <w:t>T</w:t>
      </w:r>
      <w:r w:rsidR="00536E50" w:rsidRPr="00E379A0">
        <w:rPr>
          <w:rFonts w:cs="Times New Roman"/>
        </w:rPr>
        <w:t>h</w:t>
      </w:r>
      <w:r w:rsidR="0020576B" w:rsidRPr="00E379A0">
        <w:rPr>
          <w:rFonts w:cs="Times New Roman"/>
        </w:rPr>
        <w:t>ese</w:t>
      </w:r>
      <w:r w:rsidR="00536E50" w:rsidRPr="00E379A0">
        <w:rPr>
          <w:rFonts w:cs="Times New Roman"/>
        </w:rPr>
        <w:t xml:space="preserve"> preliminary finding</w:t>
      </w:r>
      <w:r w:rsidR="0020576B" w:rsidRPr="00E379A0">
        <w:rPr>
          <w:rFonts w:cs="Times New Roman"/>
        </w:rPr>
        <w:t>s</w:t>
      </w:r>
      <w:r w:rsidR="00536E50" w:rsidRPr="00E379A0">
        <w:rPr>
          <w:rFonts w:cs="Times New Roman"/>
        </w:rPr>
        <w:t xml:space="preserve"> </w:t>
      </w:r>
      <w:r w:rsidR="00E9010D">
        <w:rPr>
          <w:rFonts w:cs="Times New Roman"/>
        </w:rPr>
        <w:t>support our hypothesis that</w:t>
      </w:r>
      <w:r w:rsidR="0020576B" w:rsidRPr="00E379A0">
        <w:rPr>
          <w:rFonts w:cs="Times New Roman"/>
        </w:rPr>
        <w:t xml:space="preserve"> </w:t>
      </w:r>
      <w:r w:rsidR="000133C8" w:rsidRPr="00E379A0">
        <w:rPr>
          <w:rFonts w:cs="Times New Roman"/>
        </w:rPr>
        <w:t xml:space="preserve">significant </w:t>
      </w:r>
      <w:r w:rsidR="003A2608" w:rsidRPr="00E379A0">
        <w:rPr>
          <w:rFonts w:cs="Times New Roman"/>
        </w:rPr>
        <w:t>practice-</w:t>
      </w:r>
      <w:r w:rsidR="0020576B" w:rsidRPr="00E379A0">
        <w:rPr>
          <w:rFonts w:cs="Times New Roman"/>
        </w:rPr>
        <w:t>level variability</w:t>
      </w:r>
      <w:r w:rsidR="00E9010D">
        <w:rPr>
          <w:rFonts w:cs="Times New Roman"/>
        </w:rPr>
        <w:t xml:space="preserve"> exists</w:t>
      </w:r>
      <w:r w:rsidR="0020576B" w:rsidRPr="00E379A0">
        <w:rPr>
          <w:rFonts w:cs="Times New Roman"/>
        </w:rPr>
        <w:t xml:space="preserve"> that merit</w:t>
      </w:r>
      <w:r w:rsidR="000133C8" w:rsidRPr="00E379A0">
        <w:rPr>
          <w:rFonts w:cs="Times New Roman"/>
        </w:rPr>
        <w:t>s</w:t>
      </w:r>
      <w:r w:rsidR="0020576B" w:rsidRPr="00E379A0">
        <w:rPr>
          <w:rFonts w:cs="Times New Roman"/>
        </w:rPr>
        <w:t xml:space="preserve"> further investigation</w:t>
      </w:r>
      <w:r w:rsidR="00ED4873">
        <w:rPr>
          <w:rFonts w:cs="Times New Roman"/>
        </w:rPr>
        <w:t>, particularly with regards to chest imaging</w:t>
      </w:r>
      <w:r w:rsidR="0020576B" w:rsidRPr="00E379A0">
        <w:rPr>
          <w:rFonts w:cs="Times New Roman"/>
        </w:rPr>
        <w:t xml:space="preserve">. </w:t>
      </w:r>
      <w:r w:rsidR="00ED4873">
        <w:rPr>
          <w:rFonts w:cs="Times New Roman"/>
        </w:rPr>
        <w:t xml:space="preserve">At a MUSIC-wide collaborative meeting in October, we will present these findings and then have Q&amp;A / active discussion, in order to determine why practice patterns are as they are, barriers and opportunities to change, etc. </w:t>
      </w:r>
      <w:r w:rsidR="00E22053">
        <w:rPr>
          <w:rFonts w:cs="Times New Roman"/>
        </w:rPr>
        <w:t xml:space="preserve">We will focus on </w:t>
      </w:r>
      <w:r w:rsidR="00305A4F">
        <w:rPr>
          <w:rFonts w:cs="Times New Roman"/>
        </w:rPr>
        <w:t xml:space="preserve">collecting input on how to best address the variability </w:t>
      </w:r>
      <w:r w:rsidR="0059131E">
        <w:rPr>
          <w:rFonts w:cs="Times New Roman"/>
        </w:rPr>
        <w:t>along with a</w:t>
      </w:r>
      <w:r w:rsidR="00305A4F">
        <w:rPr>
          <w:rFonts w:cs="Times New Roman"/>
        </w:rPr>
        <w:t xml:space="preserve"> thorough discussion regarding the </w:t>
      </w:r>
      <w:r w:rsidR="004103BF">
        <w:rPr>
          <w:rFonts w:cs="Times New Roman"/>
        </w:rPr>
        <w:t>utilization</w:t>
      </w:r>
      <w:r w:rsidR="00305A4F">
        <w:rPr>
          <w:rFonts w:cs="Times New Roman"/>
        </w:rPr>
        <w:t xml:space="preserve"> of chest imaging </w:t>
      </w:r>
      <w:r w:rsidR="004103BF">
        <w:rPr>
          <w:rFonts w:cs="Times New Roman"/>
        </w:rPr>
        <w:t>since we observed such low adherence for that guideline component</w:t>
      </w:r>
      <w:r w:rsidR="00FF430E">
        <w:rPr>
          <w:rFonts w:cs="Times New Roman"/>
        </w:rPr>
        <w:t xml:space="preserve">. </w:t>
      </w:r>
      <w:r w:rsidR="00ED4873">
        <w:rPr>
          <w:rFonts w:cs="Times New Roman"/>
        </w:rPr>
        <w:t xml:space="preserve">After the meeting, we </w:t>
      </w:r>
      <w:r w:rsidR="00FF430E">
        <w:rPr>
          <w:rFonts w:cs="Times New Roman"/>
        </w:rPr>
        <w:t xml:space="preserve">plan to </w:t>
      </w:r>
      <w:r w:rsidR="00ED4873">
        <w:rPr>
          <w:rFonts w:cs="Times New Roman"/>
        </w:rPr>
        <w:t>disseminate the results of our discussions to all participating MUSIC practices and follow-up</w:t>
      </w:r>
      <w:r w:rsidR="00FF430E">
        <w:rPr>
          <w:rFonts w:cs="Times New Roman"/>
        </w:rPr>
        <w:t xml:space="preserve"> at subsequent MUSIC meetings</w:t>
      </w:r>
      <w:r w:rsidR="00ED4873">
        <w:rPr>
          <w:rFonts w:cs="Times New Roman"/>
        </w:rPr>
        <w:t xml:space="preserve"> to assess the effectiveness of our findings in reducing practice variability.</w:t>
      </w:r>
    </w:p>
    <w:p w14:paraId="5A713065" w14:textId="435A7333" w:rsidR="00007D81" w:rsidRDefault="00007D81" w:rsidP="005B45A1">
      <w:pPr>
        <w:rPr>
          <w:rFonts w:cs="Times New Roman"/>
        </w:rPr>
      </w:pPr>
    </w:p>
    <w:p w14:paraId="00024393" w14:textId="71E6FBEC" w:rsidR="00007D81" w:rsidRDefault="00007D81" w:rsidP="005B45A1">
      <w:pPr>
        <w:rPr>
          <w:rFonts w:cs="Times New Roman"/>
        </w:rPr>
      </w:pPr>
    </w:p>
    <w:p w14:paraId="0D49BC31" w14:textId="60C553FA" w:rsidR="00007D81" w:rsidRPr="008737D2" w:rsidRDefault="00007D81" w:rsidP="005B45A1">
      <w:pPr>
        <w:rPr>
          <w:rFonts w:cs="Times New Roman"/>
        </w:rPr>
      </w:pPr>
      <w:r>
        <w:rPr>
          <w:noProof/>
        </w:rPr>
        <w:lastRenderedPageBreak/>
        <w:drawing>
          <wp:inline distT="0" distB="0" distL="0" distR="0" wp14:anchorId="0D339629" wp14:editId="77AF46D2">
            <wp:extent cx="5925787" cy="3188525"/>
            <wp:effectExtent l="0" t="0" r="18415" b="12065"/>
            <wp:docPr id="5" name="Chart 5">
              <a:extLst xmlns:a="http://schemas.openxmlformats.org/drawingml/2006/main">
                <a:ext uri="{FF2B5EF4-FFF2-40B4-BE49-F238E27FC236}">
                  <a16:creationId xmlns:a16="http://schemas.microsoft.com/office/drawing/2014/main" id="{00000000-0008-0000-02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007D81" w:rsidRPr="008737D2" w:rsidSect="00CD3EB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9D386" w14:textId="77777777" w:rsidR="00945462" w:rsidRDefault="00945462" w:rsidP="003266D3">
      <w:pPr>
        <w:spacing w:after="0" w:line="240" w:lineRule="auto"/>
      </w:pPr>
      <w:r>
        <w:separator/>
      </w:r>
    </w:p>
  </w:endnote>
  <w:endnote w:type="continuationSeparator" w:id="0">
    <w:p w14:paraId="13C2E0EF" w14:textId="77777777" w:rsidR="00945462" w:rsidRDefault="00945462" w:rsidP="00326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4D79E" w14:textId="77777777" w:rsidR="00945462" w:rsidRDefault="00945462" w:rsidP="003266D3">
      <w:pPr>
        <w:spacing w:after="0" w:line="240" w:lineRule="auto"/>
      </w:pPr>
      <w:r>
        <w:separator/>
      </w:r>
    </w:p>
  </w:footnote>
  <w:footnote w:type="continuationSeparator" w:id="0">
    <w:p w14:paraId="190495F9" w14:textId="77777777" w:rsidR="00945462" w:rsidRDefault="00945462" w:rsidP="00326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547A0" w14:textId="7237B3DC" w:rsidR="00CD3EBA" w:rsidRPr="00380B92" w:rsidRDefault="00CD3EBA" w:rsidP="00CD3EBA">
    <w:pPr>
      <w:pStyle w:val="Header"/>
      <w:ind w:left="-630"/>
      <w:jc w:val="center"/>
      <w:rPr>
        <w:sz w:val="20"/>
        <w:szCs w:val="20"/>
      </w:rPr>
    </w:pPr>
    <w:r>
      <w:rPr>
        <w:noProof/>
      </w:rPr>
      <w:drawing>
        <wp:inline distT="0" distB="0" distL="0" distR="0" wp14:anchorId="27D84C5F" wp14:editId="2FF6B0DA">
          <wp:extent cx="1314450" cy="77996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MUSIC logo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450" cy="779963"/>
                  </a:xfrm>
                  <a:prstGeom prst="rect">
                    <a:avLst/>
                  </a:prstGeom>
                </pic:spPr>
              </pic:pic>
            </a:graphicData>
          </a:graphic>
        </wp:inline>
      </w:drawing>
    </w:r>
    <w:r>
      <w:rPr>
        <w:b/>
      </w:rPr>
      <w:tab/>
    </w:r>
    <w:r w:rsidR="002A70A6" w:rsidRPr="00380B92">
      <w:rPr>
        <w:rFonts w:cs="Times New Roman"/>
        <w:b/>
      </w:rPr>
      <w:t>MUSIC</w:t>
    </w:r>
    <w:r w:rsidR="00380B92" w:rsidRPr="00380B92">
      <w:rPr>
        <w:rFonts w:cs="Times New Roman"/>
        <w:b/>
      </w:rPr>
      <w:t>-KIDNEY: Quality Improvement in Management</w:t>
    </w:r>
    <w:r w:rsidR="00F70A13" w:rsidRPr="00380B92">
      <w:rPr>
        <w:rFonts w:cs="Times New Roman"/>
        <w:b/>
      </w:rPr>
      <w:t xml:space="preserve"> of Renal Masses</w:t>
    </w:r>
    <w:r w:rsidRPr="00380B92">
      <w:rPr>
        <w:sz w:val="20"/>
        <w:szCs w:val="20"/>
      </w:rPr>
      <w:tab/>
    </w:r>
    <w:r w:rsidR="00380B92" w:rsidRPr="00380B92">
      <w:rPr>
        <w:sz w:val="20"/>
        <w:szCs w:val="20"/>
      </w:rPr>
      <w:t xml:space="preserve">   </w:t>
    </w:r>
    <w:r w:rsidR="00380B92">
      <w:rPr>
        <w:sz w:val="20"/>
        <w:szCs w:val="20"/>
      </w:rPr>
      <w:t xml:space="preserve"> </w:t>
    </w:r>
    <w:r w:rsidR="00963A03">
      <w:rPr>
        <w:rFonts w:cs="Times New Roman"/>
        <w:sz w:val="20"/>
        <w:szCs w:val="20"/>
      </w:rPr>
      <w:t>8</w:t>
    </w:r>
    <w:r w:rsidR="00185556" w:rsidRPr="00380B92">
      <w:rPr>
        <w:rFonts w:cs="Times New Roman"/>
        <w:sz w:val="20"/>
        <w:szCs w:val="20"/>
      </w:rPr>
      <w:t>/</w:t>
    </w:r>
    <w:r w:rsidR="00963A03">
      <w:rPr>
        <w:rFonts w:cs="Times New Roman"/>
        <w:sz w:val="20"/>
        <w:szCs w:val="20"/>
      </w:rPr>
      <w:t>26</w:t>
    </w:r>
    <w:r w:rsidR="00185556" w:rsidRPr="00380B92">
      <w:rPr>
        <w:rFonts w:cs="Times New Roman"/>
        <w:sz w:val="20"/>
        <w:szCs w:val="20"/>
      </w:rPr>
      <w:t>/</w:t>
    </w:r>
    <w:r w:rsidRPr="00380B92">
      <w:rPr>
        <w:rFonts w:cs="Times New Roman"/>
        <w:sz w:val="20"/>
        <w:szCs w:val="20"/>
      </w:rPr>
      <w:t>201</w:t>
    </w:r>
    <w:r w:rsidR="00963A03">
      <w:rPr>
        <w:rFonts w:cs="Times New Roman"/>
        <w:sz w:val="20"/>
        <w:szCs w:val="20"/>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8F8"/>
    <w:multiLevelType w:val="hybridMultilevel"/>
    <w:tmpl w:val="25BA9782"/>
    <w:lvl w:ilvl="0" w:tplc="C5F00C4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D0770"/>
    <w:multiLevelType w:val="hybridMultilevel"/>
    <w:tmpl w:val="FA46F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9D30C7"/>
    <w:multiLevelType w:val="hybridMultilevel"/>
    <w:tmpl w:val="09E627D4"/>
    <w:lvl w:ilvl="0" w:tplc="D5B03798">
      <w:start w:val="1"/>
      <w:numFmt w:val="lowerLetter"/>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4811EB0"/>
    <w:multiLevelType w:val="hybridMultilevel"/>
    <w:tmpl w:val="7FE6FF96"/>
    <w:lvl w:ilvl="0" w:tplc="AD7CE94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2044F"/>
    <w:multiLevelType w:val="hybridMultilevel"/>
    <w:tmpl w:val="F0CC41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ef2wrwpyte2a7ewt5vpv0wsrs2tprzr5xwe&quot;&gt;Kidney&lt;record-ids&gt;&lt;item&gt;6&lt;/item&gt;&lt;item&gt;27&lt;/item&gt;&lt;item&gt;28&lt;/item&gt;&lt;item&gt;29&lt;/item&gt;&lt;item&gt;30&lt;/item&gt;&lt;item&gt;31&lt;/item&gt;&lt;item&gt;33&lt;/item&gt;&lt;item&gt;34&lt;/item&gt;&lt;item&gt;35&lt;/item&gt;&lt;item&gt;36&lt;/item&gt;&lt;item&gt;37&lt;/item&gt;&lt;/record-ids&gt;&lt;/item&gt;&lt;/Libraries&gt;"/>
  </w:docVars>
  <w:rsids>
    <w:rsidRoot w:val="003266D3"/>
    <w:rsid w:val="00003572"/>
    <w:rsid w:val="00007D81"/>
    <w:rsid w:val="000133C8"/>
    <w:rsid w:val="00016EAF"/>
    <w:rsid w:val="00017DB3"/>
    <w:rsid w:val="00023CF4"/>
    <w:rsid w:val="00023D33"/>
    <w:rsid w:val="00055013"/>
    <w:rsid w:val="00070931"/>
    <w:rsid w:val="00092743"/>
    <w:rsid w:val="000975E4"/>
    <w:rsid w:val="000E1DD1"/>
    <w:rsid w:val="001024DE"/>
    <w:rsid w:val="00112512"/>
    <w:rsid w:val="0014396D"/>
    <w:rsid w:val="00144729"/>
    <w:rsid w:val="001527B1"/>
    <w:rsid w:val="00174C6E"/>
    <w:rsid w:val="00185556"/>
    <w:rsid w:val="001A7B59"/>
    <w:rsid w:val="001C145D"/>
    <w:rsid w:val="0020576B"/>
    <w:rsid w:val="0021265C"/>
    <w:rsid w:val="002335CE"/>
    <w:rsid w:val="00235A9D"/>
    <w:rsid w:val="002365E4"/>
    <w:rsid w:val="00242BA6"/>
    <w:rsid w:val="00253CE7"/>
    <w:rsid w:val="00262C7D"/>
    <w:rsid w:val="002A70A6"/>
    <w:rsid w:val="002D0393"/>
    <w:rsid w:val="002D1857"/>
    <w:rsid w:val="002E1DCE"/>
    <w:rsid w:val="002E3479"/>
    <w:rsid w:val="002F26C0"/>
    <w:rsid w:val="002F7064"/>
    <w:rsid w:val="00303BEC"/>
    <w:rsid w:val="00305381"/>
    <w:rsid w:val="00305A4F"/>
    <w:rsid w:val="003266D3"/>
    <w:rsid w:val="003368E6"/>
    <w:rsid w:val="0034518C"/>
    <w:rsid w:val="003475CA"/>
    <w:rsid w:val="00350628"/>
    <w:rsid w:val="00371E89"/>
    <w:rsid w:val="00380B92"/>
    <w:rsid w:val="003822AD"/>
    <w:rsid w:val="003841F1"/>
    <w:rsid w:val="00384E2B"/>
    <w:rsid w:val="003A2608"/>
    <w:rsid w:val="003B359B"/>
    <w:rsid w:val="003E3550"/>
    <w:rsid w:val="003F046B"/>
    <w:rsid w:val="004103BF"/>
    <w:rsid w:val="004440FF"/>
    <w:rsid w:val="004561FB"/>
    <w:rsid w:val="004619EC"/>
    <w:rsid w:val="00494F17"/>
    <w:rsid w:val="004C2D9C"/>
    <w:rsid w:val="004D1262"/>
    <w:rsid w:val="004D19E8"/>
    <w:rsid w:val="004D50FD"/>
    <w:rsid w:val="004E1635"/>
    <w:rsid w:val="004E7B08"/>
    <w:rsid w:val="004F6005"/>
    <w:rsid w:val="00503DC1"/>
    <w:rsid w:val="00520C75"/>
    <w:rsid w:val="005308D6"/>
    <w:rsid w:val="00535A57"/>
    <w:rsid w:val="00536E50"/>
    <w:rsid w:val="00546358"/>
    <w:rsid w:val="00551DB1"/>
    <w:rsid w:val="00560DE7"/>
    <w:rsid w:val="00563E67"/>
    <w:rsid w:val="00586C55"/>
    <w:rsid w:val="0059131E"/>
    <w:rsid w:val="0059384A"/>
    <w:rsid w:val="005A0376"/>
    <w:rsid w:val="005B38AB"/>
    <w:rsid w:val="005B45A1"/>
    <w:rsid w:val="005D7BCC"/>
    <w:rsid w:val="005E1170"/>
    <w:rsid w:val="00601934"/>
    <w:rsid w:val="00602373"/>
    <w:rsid w:val="00640DA0"/>
    <w:rsid w:val="006455BA"/>
    <w:rsid w:val="0064648A"/>
    <w:rsid w:val="006470BC"/>
    <w:rsid w:val="00652752"/>
    <w:rsid w:val="00664197"/>
    <w:rsid w:val="00672E3D"/>
    <w:rsid w:val="006C65CC"/>
    <w:rsid w:val="006D5FBB"/>
    <w:rsid w:val="006D7219"/>
    <w:rsid w:val="006E1878"/>
    <w:rsid w:val="006F32B9"/>
    <w:rsid w:val="006F478B"/>
    <w:rsid w:val="0072603B"/>
    <w:rsid w:val="007305B1"/>
    <w:rsid w:val="00733BFD"/>
    <w:rsid w:val="00734280"/>
    <w:rsid w:val="007419EA"/>
    <w:rsid w:val="00763708"/>
    <w:rsid w:val="007647E9"/>
    <w:rsid w:val="0077799A"/>
    <w:rsid w:val="007B5302"/>
    <w:rsid w:val="007C54E1"/>
    <w:rsid w:val="007E76D5"/>
    <w:rsid w:val="00823AB8"/>
    <w:rsid w:val="00825CFF"/>
    <w:rsid w:val="00856623"/>
    <w:rsid w:val="008737D2"/>
    <w:rsid w:val="00884C75"/>
    <w:rsid w:val="008A281F"/>
    <w:rsid w:val="008F15BF"/>
    <w:rsid w:val="009061AB"/>
    <w:rsid w:val="009425D8"/>
    <w:rsid w:val="00945462"/>
    <w:rsid w:val="00945DD1"/>
    <w:rsid w:val="00963A03"/>
    <w:rsid w:val="009A77ED"/>
    <w:rsid w:val="009B4CBB"/>
    <w:rsid w:val="009D1F6C"/>
    <w:rsid w:val="009E33E7"/>
    <w:rsid w:val="009F01F3"/>
    <w:rsid w:val="00A602BC"/>
    <w:rsid w:val="00A65694"/>
    <w:rsid w:val="00A8343A"/>
    <w:rsid w:val="00A923A9"/>
    <w:rsid w:val="00A9257A"/>
    <w:rsid w:val="00AA01BD"/>
    <w:rsid w:val="00AB4EBD"/>
    <w:rsid w:val="00AC759F"/>
    <w:rsid w:val="00AF3A4B"/>
    <w:rsid w:val="00AF45F8"/>
    <w:rsid w:val="00B151B5"/>
    <w:rsid w:val="00B20BEF"/>
    <w:rsid w:val="00B23483"/>
    <w:rsid w:val="00B32DE1"/>
    <w:rsid w:val="00B47C34"/>
    <w:rsid w:val="00B52777"/>
    <w:rsid w:val="00B5339F"/>
    <w:rsid w:val="00B63598"/>
    <w:rsid w:val="00B65D68"/>
    <w:rsid w:val="00B843FC"/>
    <w:rsid w:val="00B84D85"/>
    <w:rsid w:val="00BB2FFF"/>
    <w:rsid w:val="00BC6D32"/>
    <w:rsid w:val="00BE36B1"/>
    <w:rsid w:val="00C07F04"/>
    <w:rsid w:val="00C1690B"/>
    <w:rsid w:val="00C32432"/>
    <w:rsid w:val="00C33329"/>
    <w:rsid w:val="00C4344C"/>
    <w:rsid w:val="00C54E7A"/>
    <w:rsid w:val="00C57411"/>
    <w:rsid w:val="00C5769E"/>
    <w:rsid w:val="00C82DA4"/>
    <w:rsid w:val="00C9752E"/>
    <w:rsid w:val="00CA0660"/>
    <w:rsid w:val="00CA34C9"/>
    <w:rsid w:val="00CA6C1C"/>
    <w:rsid w:val="00CC0E49"/>
    <w:rsid w:val="00CD3EBA"/>
    <w:rsid w:val="00CF3477"/>
    <w:rsid w:val="00D04610"/>
    <w:rsid w:val="00D27449"/>
    <w:rsid w:val="00D27935"/>
    <w:rsid w:val="00D42ACC"/>
    <w:rsid w:val="00D509F4"/>
    <w:rsid w:val="00D60D3F"/>
    <w:rsid w:val="00DB12D5"/>
    <w:rsid w:val="00DD021C"/>
    <w:rsid w:val="00E06EC9"/>
    <w:rsid w:val="00E13AEF"/>
    <w:rsid w:val="00E204F2"/>
    <w:rsid w:val="00E2070E"/>
    <w:rsid w:val="00E22053"/>
    <w:rsid w:val="00E24505"/>
    <w:rsid w:val="00E379A0"/>
    <w:rsid w:val="00E45145"/>
    <w:rsid w:val="00E45D63"/>
    <w:rsid w:val="00E85A30"/>
    <w:rsid w:val="00E9010D"/>
    <w:rsid w:val="00EA7172"/>
    <w:rsid w:val="00EB3133"/>
    <w:rsid w:val="00ED0EEB"/>
    <w:rsid w:val="00ED4873"/>
    <w:rsid w:val="00EE3572"/>
    <w:rsid w:val="00EE3BAE"/>
    <w:rsid w:val="00EF11EB"/>
    <w:rsid w:val="00F0303F"/>
    <w:rsid w:val="00F06A70"/>
    <w:rsid w:val="00F36BCB"/>
    <w:rsid w:val="00F3717B"/>
    <w:rsid w:val="00F608E9"/>
    <w:rsid w:val="00F70A13"/>
    <w:rsid w:val="00F82217"/>
    <w:rsid w:val="00F8406B"/>
    <w:rsid w:val="00F94268"/>
    <w:rsid w:val="00FA4265"/>
    <w:rsid w:val="00FB3A4F"/>
    <w:rsid w:val="00FC27E8"/>
    <w:rsid w:val="00FC4AB4"/>
    <w:rsid w:val="00FF4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C1B9"/>
  <w15:docId w15:val="{E3DB521E-2577-4553-964E-4506F835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23A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6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6D3"/>
  </w:style>
  <w:style w:type="paragraph" w:styleId="Footer">
    <w:name w:val="footer"/>
    <w:basedOn w:val="Normal"/>
    <w:link w:val="FooterChar"/>
    <w:uiPriority w:val="99"/>
    <w:unhideWhenUsed/>
    <w:rsid w:val="00326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6D3"/>
  </w:style>
  <w:style w:type="paragraph" w:styleId="BalloonText">
    <w:name w:val="Balloon Text"/>
    <w:basedOn w:val="Normal"/>
    <w:link w:val="BalloonTextChar"/>
    <w:uiPriority w:val="99"/>
    <w:semiHidden/>
    <w:unhideWhenUsed/>
    <w:rsid w:val="00326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6D3"/>
    <w:rPr>
      <w:rFonts w:ascii="Tahoma" w:hAnsi="Tahoma" w:cs="Tahoma"/>
      <w:sz w:val="16"/>
      <w:szCs w:val="16"/>
    </w:rPr>
  </w:style>
  <w:style w:type="paragraph" w:styleId="ListParagraph">
    <w:name w:val="List Paragraph"/>
    <w:basedOn w:val="Normal"/>
    <w:uiPriority w:val="34"/>
    <w:qFormat/>
    <w:rsid w:val="00CA0660"/>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CF3477"/>
    <w:rPr>
      <w:sz w:val="16"/>
      <w:szCs w:val="16"/>
    </w:rPr>
  </w:style>
  <w:style w:type="paragraph" w:styleId="CommentText">
    <w:name w:val="annotation text"/>
    <w:basedOn w:val="Normal"/>
    <w:link w:val="CommentTextChar"/>
    <w:uiPriority w:val="99"/>
    <w:semiHidden/>
    <w:unhideWhenUsed/>
    <w:rsid w:val="00CF3477"/>
    <w:pPr>
      <w:spacing w:line="240" w:lineRule="auto"/>
    </w:pPr>
    <w:rPr>
      <w:sz w:val="20"/>
      <w:szCs w:val="20"/>
    </w:rPr>
  </w:style>
  <w:style w:type="character" w:customStyle="1" w:styleId="CommentTextChar">
    <w:name w:val="Comment Text Char"/>
    <w:basedOn w:val="DefaultParagraphFont"/>
    <w:link w:val="CommentText"/>
    <w:uiPriority w:val="99"/>
    <w:semiHidden/>
    <w:rsid w:val="00CF3477"/>
    <w:rPr>
      <w:sz w:val="20"/>
      <w:szCs w:val="20"/>
    </w:rPr>
  </w:style>
  <w:style w:type="paragraph" w:styleId="CommentSubject">
    <w:name w:val="annotation subject"/>
    <w:basedOn w:val="CommentText"/>
    <w:next w:val="CommentText"/>
    <w:link w:val="CommentSubjectChar"/>
    <w:uiPriority w:val="99"/>
    <w:semiHidden/>
    <w:unhideWhenUsed/>
    <w:rsid w:val="00CF3477"/>
    <w:rPr>
      <w:b/>
      <w:bCs/>
    </w:rPr>
  </w:style>
  <w:style w:type="character" w:customStyle="1" w:styleId="CommentSubjectChar">
    <w:name w:val="Comment Subject Char"/>
    <w:basedOn w:val="CommentTextChar"/>
    <w:link w:val="CommentSubject"/>
    <w:uiPriority w:val="99"/>
    <w:semiHidden/>
    <w:rsid w:val="00CF3477"/>
    <w:rPr>
      <w:b/>
      <w:bCs/>
      <w:sz w:val="20"/>
      <w:szCs w:val="20"/>
    </w:rPr>
  </w:style>
  <w:style w:type="character" w:styleId="Hyperlink">
    <w:name w:val="Hyperlink"/>
    <w:basedOn w:val="DefaultParagraphFont"/>
    <w:uiPriority w:val="99"/>
    <w:unhideWhenUsed/>
    <w:rsid w:val="004E7B08"/>
    <w:rPr>
      <w:color w:val="0000FF" w:themeColor="hyperlink"/>
      <w:u w:val="single"/>
    </w:rPr>
  </w:style>
  <w:style w:type="paragraph" w:customStyle="1" w:styleId="Default">
    <w:name w:val="Default"/>
    <w:rsid w:val="00BE36B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77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62217">
      <w:bodyDiv w:val="1"/>
      <w:marLeft w:val="0"/>
      <w:marRight w:val="0"/>
      <w:marTop w:val="0"/>
      <w:marBottom w:val="0"/>
      <w:divBdr>
        <w:top w:val="none" w:sz="0" w:space="0" w:color="auto"/>
        <w:left w:val="none" w:sz="0" w:space="0" w:color="auto"/>
        <w:bottom w:val="none" w:sz="0" w:space="0" w:color="auto"/>
        <w:right w:val="none" w:sz="0" w:space="0" w:color="auto"/>
      </w:divBdr>
    </w:div>
    <w:div w:id="762410194">
      <w:bodyDiv w:val="1"/>
      <w:marLeft w:val="0"/>
      <w:marRight w:val="0"/>
      <w:marTop w:val="0"/>
      <w:marBottom w:val="0"/>
      <w:divBdr>
        <w:top w:val="none" w:sz="0" w:space="0" w:color="auto"/>
        <w:left w:val="none" w:sz="0" w:space="0" w:color="auto"/>
        <w:bottom w:val="none" w:sz="0" w:space="0" w:color="auto"/>
        <w:right w:val="none" w:sz="0" w:space="0" w:color="auto"/>
      </w:divBdr>
    </w:div>
    <w:div w:id="1755735973">
      <w:bodyDiv w:val="1"/>
      <w:marLeft w:val="0"/>
      <w:marRight w:val="0"/>
      <w:marTop w:val="0"/>
      <w:marBottom w:val="0"/>
      <w:divBdr>
        <w:top w:val="none" w:sz="0" w:space="0" w:color="auto"/>
        <w:left w:val="none" w:sz="0" w:space="0" w:color="auto"/>
        <w:bottom w:val="none" w:sz="0" w:space="0" w:color="auto"/>
        <w:right w:val="none" w:sz="0" w:space="0" w:color="auto"/>
      </w:divBdr>
      <w:divsChild>
        <w:div w:id="962419684">
          <w:marLeft w:val="0"/>
          <w:marRight w:val="0"/>
          <w:marTop w:val="0"/>
          <w:marBottom w:val="0"/>
          <w:divBdr>
            <w:top w:val="none" w:sz="0" w:space="0" w:color="auto"/>
            <w:left w:val="none" w:sz="0" w:space="0" w:color="auto"/>
            <w:bottom w:val="none" w:sz="0" w:space="0" w:color="auto"/>
            <w:right w:val="none" w:sz="0" w:space="0" w:color="auto"/>
          </w:divBdr>
        </w:div>
        <w:div w:id="1787188443">
          <w:marLeft w:val="0"/>
          <w:marRight w:val="0"/>
          <w:marTop w:val="0"/>
          <w:marBottom w:val="0"/>
          <w:divBdr>
            <w:top w:val="none" w:sz="0" w:space="0" w:color="auto"/>
            <w:left w:val="none" w:sz="0" w:space="0" w:color="auto"/>
            <w:bottom w:val="none" w:sz="0" w:space="0" w:color="auto"/>
            <w:right w:val="none" w:sz="0" w:space="0" w:color="auto"/>
          </w:divBdr>
        </w:div>
      </w:divsChild>
    </w:div>
    <w:div w:id="1802378191">
      <w:bodyDiv w:val="1"/>
      <w:marLeft w:val="0"/>
      <w:marRight w:val="0"/>
      <w:marTop w:val="0"/>
      <w:marBottom w:val="0"/>
      <w:divBdr>
        <w:top w:val="none" w:sz="0" w:space="0" w:color="auto"/>
        <w:left w:val="none" w:sz="0" w:space="0" w:color="auto"/>
        <w:bottom w:val="none" w:sz="0" w:space="0" w:color="auto"/>
        <w:right w:val="none" w:sz="0" w:space="0" w:color="auto"/>
      </w:divBdr>
      <w:divsChild>
        <w:div w:id="405997891">
          <w:marLeft w:val="0"/>
          <w:marRight w:val="1"/>
          <w:marTop w:val="0"/>
          <w:marBottom w:val="0"/>
          <w:divBdr>
            <w:top w:val="none" w:sz="0" w:space="0" w:color="auto"/>
            <w:left w:val="none" w:sz="0" w:space="0" w:color="auto"/>
            <w:bottom w:val="none" w:sz="0" w:space="0" w:color="auto"/>
            <w:right w:val="none" w:sz="0" w:space="0" w:color="auto"/>
          </w:divBdr>
          <w:divsChild>
            <w:div w:id="1240673193">
              <w:marLeft w:val="0"/>
              <w:marRight w:val="0"/>
              <w:marTop w:val="0"/>
              <w:marBottom w:val="0"/>
              <w:divBdr>
                <w:top w:val="none" w:sz="0" w:space="0" w:color="auto"/>
                <w:left w:val="none" w:sz="0" w:space="0" w:color="auto"/>
                <w:bottom w:val="none" w:sz="0" w:space="0" w:color="auto"/>
                <w:right w:val="none" w:sz="0" w:space="0" w:color="auto"/>
              </w:divBdr>
              <w:divsChild>
                <w:div w:id="1258295489">
                  <w:marLeft w:val="0"/>
                  <w:marRight w:val="1"/>
                  <w:marTop w:val="0"/>
                  <w:marBottom w:val="0"/>
                  <w:divBdr>
                    <w:top w:val="none" w:sz="0" w:space="0" w:color="auto"/>
                    <w:left w:val="none" w:sz="0" w:space="0" w:color="auto"/>
                    <w:bottom w:val="none" w:sz="0" w:space="0" w:color="auto"/>
                    <w:right w:val="none" w:sz="0" w:space="0" w:color="auto"/>
                  </w:divBdr>
                  <w:divsChild>
                    <w:div w:id="202644133">
                      <w:marLeft w:val="0"/>
                      <w:marRight w:val="0"/>
                      <w:marTop w:val="0"/>
                      <w:marBottom w:val="0"/>
                      <w:divBdr>
                        <w:top w:val="none" w:sz="0" w:space="0" w:color="auto"/>
                        <w:left w:val="none" w:sz="0" w:space="0" w:color="auto"/>
                        <w:bottom w:val="none" w:sz="0" w:space="0" w:color="auto"/>
                        <w:right w:val="none" w:sz="0" w:space="0" w:color="auto"/>
                      </w:divBdr>
                      <w:divsChild>
                        <w:div w:id="1755666845">
                          <w:marLeft w:val="0"/>
                          <w:marRight w:val="0"/>
                          <w:marTop w:val="0"/>
                          <w:marBottom w:val="0"/>
                          <w:divBdr>
                            <w:top w:val="none" w:sz="0" w:space="0" w:color="auto"/>
                            <w:left w:val="none" w:sz="0" w:space="0" w:color="auto"/>
                            <w:bottom w:val="none" w:sz="0" w:space="0" w:color="auto"/>
                            <w:right w:val="none" w:sz="0" w:space="0" w:color="auto"/>
                          </w:divBdr>
                          <w:divsChild>
                            <w:div w:id="1119954873">
                              <w:marLeft w:val="0"/>
                              <w:marRight w:val="0"/>
                              <w:marTop w:val="120"/>
                              <w:marBottom w:val="360"/>
                              <w:divBdr>
                                <w:top w:val="none" w:sz="0" w:space="0" w:color="auto"/>
                                <w:left w:val="none" w:sz="0" w:space="0" w:color="auto"/>
                                <w:bottom w:val="none" w:sz="0" w:space="0" w:color="auto"/>
                                <w:right w:val="none" w:sz="0" w:space="0" w:color="auto"/>
                              </w:divBdr>
                              <w:divsChild>
                                <w:div w:id="1055659858">
                                  <w:marLeft w:val="420"/>
                                  <w:marRight w:val="0"/>
                                  <w:marTop w:val="0"/>
                                  <w:marBottom w:val="0"/>
                                  <w:divBdr>
                                    <w:top w:val="none" w:sz="0" w:space="0" w:color="auto"/>
                                    <w:left w:val="none" w:sz="0" w:space="0" w:color="auto"/>
                                    <w:bottom w:val="none" w:sz="0" w:space="0" w:color="auto"/>
                                    <w:right w:val="none" w:sz="0" w:space="0" w:color="auto"/>
                                  </w:divBdr>
                                  <w:divsChild>
                                    <w:div w:id="64835968">
                                      <w:marLeft w:val="0"/>
                                      <w:marRight w:val="0"/>
                                      <w:marTop w:val="0"/>
                                      <w:marBottom w:val="0"/>
                                      <w:divBdr>
                                        <w:top w:val="none" w:sz="0" w:space="0" w:color="auto"/>
                                        <w:left w:val="none" w:sz="0" w:space="0" w:color="auto"/>
                                        <w:bottom w:val="none" w:sz="0" w:space="0" w:color="auto"/>
                                        <w:right w:val="none" w:sz="0" w:space="0" w:color="auto"/>
                                      </w:divBdr>
                                      <w:divsChild>
                                        <w:div w:id="14752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481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Figure 1</a:t>
            </a:r>
          </a:p>
        </c:rich>
      </c:tx>
      <c:layout>
        <c:manualLayout>
          <c:xMode val="edge"/>
          <c:yMode val="edge"/>
          <c:x val="0.41550688212602505"/>
          <c:y val="4.419889502762430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'Data Analysis'!$BD$2</c:f>
              <c:strCache>
                <c:ptCount val="1"/>
                <c:pt idx="0">
                  <c:v>A</c:v>
                </c:pt>
              </c:strCache>
            </c:strRef>
          </c:tx>
          <c:spPr>
            <a:solidFill>
              <a:schemeClr val="accent1"/>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Analysis'!$BE$2:$BJ$2</c:f>
              <c:numCache>
                <c:formatCode>0%</c:formatCode>
                <c:ptCount val="6"/>
                <c:pt idx="0">
                  <c:v>0.775281</c:v>
                </c:pt>
                <c:pt idx="1">
                  <c:v>0.88763999999999998</c:v>
                </c:pt>
                <c:pt idx="2">
                  <c:v>0.78651700000000002</c:v>
                </c:pt>
                <c:pt idx="3">
                  <c:v>0.96629200000000004</c:v>
                </c:pt>
                <c:pt idx="4">
                  <c:v>0.42696600000000001</c:v>
                </c:pt>
                <c:pt idx="5">
                  <c:v>0.25842700000000002</c:v>
                </c:pt>
              </c:numCache>
            </c:numRef>
          </c:val>
          <c:extLst>
            <c:ext xmlns:c16="http://schemas.microsoft.com/office/drawing/2014/chart" uri="{C3380CC4-5D6E-409C-BE32-E72D297353CC}">
              <c16:uniqueId val="{00000000-40D0-4DF4-B24E-7D26BED026FB}"/>
            </c:ext>
          </c:extLst>
        </c:ser>
        <c:ser>
          <c:idx val="1"/>
          <c:order val="1"/>
          <c:tx>
            <c:strRef>
              <c:f>'Data Analysis'!$BD$3</c:f>
              <c:strCache>
                <c:ptCount val="1"/>
                <c:pt idx="0">
                  <c:v>B</c:v>
                </c:pt>
              </c:strCache>
            </c:strRef>
          </c:tx>
          <c:spPr>
            <a:solidFill>
              <a:schemeClr val="accent2"/>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Analysis'!$BE$3:$BJ$3</c:f>
              <c:numCache>
                <c:formatCode>0%</c:formatCode>
                <c:ptCount val="6"/>
                <c:pt idx="0">
                  <c:v>0.68987299999999996</c:v>
                </c:pt>
                <c:pt idx="1">
                  <c:v>0.78481000000000001</c:v>
                </c:pt>
                <c:pt idx="2">
                  <c:v>0.60126599999999997</c:v>
                </c:pt>
                <c:pt idx="3">
                  <c:v>0.98101300000000002</c:v>
                </c:pt>
                <c:pt idx="4">
                  <c:v>0.60126599999999997</c:v>
                </c:pt>
                <c:pt idx="5">
                  <c:v>0.28481000000000001</c:v>
                </c:pt>
              </c:numCache>
            </c:numRef>
          </c:val>
          <c:extLst>
            <c:ext xmlns:c16="http://schemas.microsoft.com/office/drawing/2014/chart" uri="{C3380CC4-5D6E-409C-BE32-E72D297353CC}">
              <c16:uniqueId val="{00000001-40D0-4DF4-B24E-7D26BED026FB}"/>
            </c:ext>
          </c:extLst>
        </c:ser>
        <c:ser>
          <c:idx val="2"/>
          <c:order val="2"/>
          <c:tx>
            <c:strRef>
              <c:f>'Data Analysis'!$BD$4</c:f>
              <c:strCache>
                <c:ptCount val="1"/>
                <c:pt idx="0">
                  <c:v>C</c:v>
                </c:pt>
              </c:strCache>
            </c:strRef>
          </c:tx>
          <c:spPr>
            <a:solidFill>
              <a:schemeClr val="accent3"/>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Analysis'!$BE$4:$BJ$4</c:f>
              <c:numCache>
                <c:formatCode>0%</c:formatCode>
                <c:ptCount val="6"/>
                <c:pt idx="0">
                  <c:v>0.47058800000000001</c:v>
                </c:pt>
                <c:pt idx="1">
                  <c:v>0.82352899999999996</c:v>
                </c:pt>
                <c:pt idx="2">
                  <c:v>0.47058800000000001</c:v>
                </c:pt>
                <c:pt idx="3">
                  <c:v>1</c:v>
                </c:pt>
                <c:pt idx="4">
                  <c:v>0.235294</c:v>
                </c:pt>
                <c:pt idx="5">
                  <c:v>0</c:v>
                </c:pt>
              </c:numCache>
            </c:numRef>
          </c:val>
          <c:extLst>
            <c:ext xmlns:c16="http://schemas.microsoft.com/office/drawing/2014/chart" uri="{C3380CC4-5D6E-409C-BE32-E72D297353CC}">
              <c16:uniqueId val="{00000002-40D0-4DF4-B24E-7D26BED026FB}"/>
            </c:ext>
          </c:extLst>
        </c:ser>
        <c:ser>
          <c:idx val="3"/>
          <c:order val="3"/>
          <c:tx>
            <c:strRef>
              <c:f>'Data Analysis'!$BD$5</c:f>
              <c:strCache>
                <c:ptCount val="1"/>
                <c:pt idx="0">
                  <c:v>D</c:v>
                </c:pt>
              </c:strCache>
            </c:strRef>
          </c:tx>
          <c:spPr>
            <a:solidFill>
              <a:schemeClr val="accent4"/>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Analysis'!$BE$5:$BJ$5</c:f>
              <c:numCache>
                <c:formatCode>0%</c:formatCode>
                <c:ptCount val="6"/>
                <c:pt idx="0">
                  <c:v>0.8</c:v>
                </c:pt>
                <c:pt idx="1">
                  <c:v>0.6</c:v>
                </c:pt>
                <c:pt idx="2">
                  <c:v>0.5</c:v>
                </c:pt>
                <c:pt idx="3">
                  <c:v>1</c:v>
                </c:pt>
                <c:pt idx="4">
                  <c:v>0.5</c:v>
                </c:pt>
                <c:pt idx="5">
                  <c:v>0.05</c:v>
                </c:pt>
              </c:numCache>
            </c:numRef>
          </c:val>
          <c:extLst>
            <c:ext xmlns:c16="http://schemas.microsoft.com/office/drawing/2014/chart" uri="{C3380CC4-5D6E-409C-BE32-E72D297353CC}">
              <c16:uniqueId val="{00000003-40D0-4DF4-B24E-7D26BED026FB}"/>
            </c:ext>
          </c:extLst>
        </c:ser>
        <c:ser>
          <c:idx val="4"/>
          <c:order val="4"/>
          <c:tx>
            <c:strRef>
              <c:f>'Data Analysis'!$BD$6</c:f>
              <c:strCache>
                <c:ptCount val="1"/>
                <c:pt idx="0">
                  <c:v>E</c:v>
                </c:pt>
              </c:strCache>
            </c:strRef>
          </c:tx>
          <c:spPr>
            <a:solidFill>
              <a:schemeClr val="accent5"/>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Analysis'!$BE$6:$BJ$6</c:f>
              <c:numCache>
                <c:formatCode>0%</c:formatCode>
                <c:ptCount val="6"/>
                <c:pt idx="0">
                  <c:v>0.74789899999999998</c:v>
                </c:pt>
                <c:pt idx="1">
                  <c:v>0.76890800000000004</c:v>
                </c:pt>
                <c:pt idx="2">
                  <c:v>0.52941199999999999</c:v>
                </c:pt>
                <c:pt idx="3">
                  <c:v>0.94117600000000001</c:v>
                </c:pt>
                <c:pt idx="4">
                  <c:v>0.58823499999999995</c:v>
                </c:pt>
                <c:pt idx="5">
                  <c:v>0.26050400000000001</c:v>
                </c:pt>
              </c:numCache>
            </c:numRef>
          </c:val>
          <c:extLst>
            <c:ext xmlns:c16="http://schemas.microsoft.com/office/drawing/2014/chart" uri="{C3380CC4-5D6E-409C-BE32-E72D297353CC}">
              <c16:uniqueId val="{00000004-40D0-4DF4-B24E-7D26BED026FB}"/>
            </c:ext>
          </c:extLst>
        </c:ser>
        <c:ser>
          <c:idx val="5"/>
          <c:order val="5"/>
          <c:tx>
            <c:strRef>
              <c:f>'Data Analysis'!$BD$7</c:f>
              <c:strCache>
                <c:ptCount val="1"/>
                <c:pt idx="0">
                  <c:v>F</c:v>
                </c:pt>
              </c:strCache>
            </c:strRef>
          </c:tx>
          <c:spPr>
            <a:solidFill>
              <a:schemeClr val="accent6"/>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Analysis'!$BE$7:$BJ$7</c:f>
              <c:numCache>
                <c:formatCode>0%</c:formatCode>
                <c:ptCount val="6"/>
                <c:pt idx="0">
                  <c:v>0.58823499999999995</c:v>
                </c:pt>
                <c:pt idx="1">
                  <c:v>0.735294</c:v>
                </c:pt>
                <c:pt idx="2">
                  <c:v>0.82352899999999996</c:v>
                </c:pt>
                <c:pt idx="3">
                  <c:v>0.97058800000000001</c:v>
                </c:pt>
                <c:pt idx="4">
                  <c:v>0.352941</c:v>
                </c:pt>
                <c:pt idx="5">
                  <c:v>0.17647099999999999</c:v>
                </c:pt>
              </c:numCache>
            </c:numRef>
          </c:val>
          <c:extLst>
            <c:ext xmlns:c16="http://schemas.microsoft.com/office/drawing/2014/chart" uri="{C3380CC4-5D6E-409C-BE32-E72D297353CC}">
              <c16:uniqueId val="{00000005-40D0-4DF4-B24E-7D26BED026FB}"/>
            </c:ext>
          </c:extLst>
        </c:ser>
        <c:ser>
          <c:idx val="6"/>
          <c:order val="6"/>
          <c:tx>
            <c:strRef>
              <c:f>'Data Analysis'!$BD$8</c:f>
              <c:strCache>
                <c:ptCount val="1"/>
                <c:pt idx="0">
                  <c:v>G</c:v>
                </c:pt>
              </c:strCache>
            </c:strRef>
          </c:tx>
          <c:spPr>
            <a:solidFill>
              <a:schemeClr val="accent1">
                <a:lumMod val="60000"/>
              </a:schemeClr>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Analysis'!$BE$8:$BJ$8</c:f>
              <c:numCache>
                <c:formatCode>0%</c:formatCode>
                <c:ptCount val="6"/>
                <c:pt idx="0">
                  <c:v>0.70206500000000005</c:v>
                </c:pt>
                <c:pt idx="1">
                  <c:v>0.63716799999999996</c:v>
                </c:pt>
                <c:pt idx="2">
                  <c:v>0.88790599999999997</c:v>
                </c:pt>
                <c:pt idx="3">
                  <c:v>0.83185799999999999</c:v>
                </c:pt>
                <c:pt idx="4">
                  <c:v>0.19173999999999999</c:v>
                </c:pt>
                <c:pt idx="5">
                  <c:v>8.5545999999999997E-2</c:v>
                </c:pt>
              </c:numCache>
            </c:numRef>
          </c:val>
          <c:extLst>
            <c:ext xmlns:c16="http://schemas.microsoft.com/office/drawing/2014/chart" uri="{C3380CC4-5D6E-409C-BE32-E72D297353CC}">
              <c16:uniqueId val="{00000006-40D0-4DF4-B24E-7D26BED026FB}"/>
            </c:ext>
          </c:extLst>
        </c:ser>
        <c:ser>
          <c:idx val="7"/>
          <c:order val="7"/>
          <c:tx>
            <c:strRef>
              <c:f>'Data Analysis'!$BD$9</c:f>
              <c:strCache>
                <c:ptCount val="1"/>
                <c:pt idx="0">
                  <c:v>H</c:v>
                </c:pt>
              </c:strCache>
            </c:strRef>
          </c:tx>
          <c:spPr>
            <a:solidFill>
              <a:schemeClr val="accent2">
                <a:lumMod val="60000"/>
              </a:schemeClr>
            </a:solidFill>
            <a:ln>
              <a:noFill/>
            </a:ln>
            <a:effectLst/>
          </c:spPr>
          <c:invertIfNegative val="0"/>
          <c:cat>
            <c:strRef>
              <c:f>'Data Analysis'!$BE$1:$BJ$1</c:f>
              <c:strCache>
                <c:ptCount val="6"/>
                <c:pt idx="0">
                  <c:v>Overall CMP</c:v>
                </c:pt>
                <c:pt idx="1">
                  <c:v>Overall CBC</c:v>
                </c:pt>
                <c:pt idx="2">
                  <c:v>Overall UA</c:v>
                </c:pt>
                <c:pt idx="3">
                  <c:v>Overall CT/MRI</c:v>
                </c:pt>
                <c:pt idx="4">
                  <c:v>Overall CXR</c:v>
                </c:pt>
                <c:pt idx="5">
                  <c:v>Overall Complete</c:v>
                </c:pt>
              </c:strCache>
            </c:strRef>
          </c:cat>
          <c:val>
            <c:numRef>
              <c:f>'Data Analysis'!$BE$9:$BJ$9</c:f>
              <c:numCache>
                <c:formatCode>0%</c:formatCode>
                <c:ptCount val="6"/>
                <c:pt idx="0">
                  <c:v>0.53703699999999999</c:v>
                </c:pt>
                <c:pt idx="1">
                  <c:v>0.5</c:v>
                </c:pt>
                <c:pt idx="2">
                  <c:v>0.42592600000000003</c:v>
                </c:pt>
                <c:pt idx="3">
                  <c:v>0.90740699999999996</c:v>
                </c:pt>
                <c:pt idx="4">
                  <c:v>0.351852</c:v>
                </c:pt>
                <c:pt idx="5">
                  <c:v>5.5556000000000001E-2</c:v>
                </c:pt>
              </c:numCache>
            </c:numRef>
          </c:val>
          <c:extLst>
            <c:ext xmlns:c16="http://schemas.microsoft.com/office/drawing/2014/chart" uri="{C3380CC4-5D6E-409C-BE32-E72D297353CC}">
              <c16:uniqueId val="{00000007-40D0-4DF4-B24E-7D26BED026FB}"/>
            </c:ext>
          </c:extLst>
        </c:ser>
        <c:dLbls>
          <c:showLegendKey val="0"/>
          <c:showVal val="0"/>
          <c:showCatName val="0"/>
          <c:showSerName val="0"/>
          <c:showPercent val="0"/>
          <c:showBubbleSize val="0"/>
        </c:dLbls>
        <c:gapWidth val="150"/>
        <c:axId val="368977792"/>
        <c:axId val="368979328"/>
      </c:barChart>
      <c:catAx>
        <c:axId val="368977792"/>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68979328"/>
        <c:crosses val="autoZero"/>
        <c:auto val="1"/>
        <c:lblAlgn val="ctr"/>
        <c:lblOffset val="100"/>
        <c:noMultiLvlLbl val="0"/>
      </c:catAx>
      <c:valAx>
        <c:axId val="368979328"/>
        <c:scaling>
          <c:orientation val="minMax"/>
          <c:max val="1"/>
        </c:scaling>
        <c:delete val="0"/>
        <c:axPos val="l"/>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68977792"/>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0.22447</cdr:x>
      <cdr:y>0.89824</cdr:y>
    </cdr:from>
    <cdr:to>
      <cdr:x>0.33482</cdr:x>
      <cdr:y>0.97157</cdr:y>
    </cdr:to>
    <cdr:sp macro="" textlink="">
      <cdr:nvSpPr>
        <cdr:cNvPr id="2" name="TextBox 1">
          <a:extLst xmlns:a="http://schemas.openxmlformats.org/drawingml/2006/main">
            <a:ext uri="{FF2B5EF4-FFF2-40B4-BE49-F238E27FC236}">
              <a16:creationId xmlns:a16="http://schemas.microsoft.com/office/drawing/2014/main" id="{3B88CF54-542D-4F9B-BC7F-E70515C8114E}"/>
            </a:ext>
          </a:extLst>
        </cdr:cNvPr>
        <cdr:cNvSpPr txBox="1"/>
      </cdr:nvSpPr>
      <cdr:spPr>
        <a:xfrm xmlns:a="http://schemas.openxmlformats.org/drawingml/2006/main">
          <a:off x="1330002" y="2863878"/>
          <a:ext cx="653844" cy="233801"/>
        </a:xfrm>
        <a:prstGeom xmlns:a="http://schemas.openxmlformats.org/drawingml/2006/main" prst="rect">
          <a:avLst/>
        </a:prstGeom>
      </cdr:spPr>
      <cdr:txBody>
        <a:bodyPr xmlns:a="http://schemas.openxmlformats.org/drawingml/2006/main" vertOverflow="clip" wrap="none" rtlCol="0" anchor="t"/>
        <a:lstStyle xmlns:a="http://schemas.openxmlformats.org/drawingml/2006/main"/>
        <a:p xmlns:a="http://schemas.openxmlformats.org/drawingml/2006/main">
          <a:pPr algn="l"/>
          <a:r>
            <a:rPr lang="en-US" sz="1100" b="1"/>
            <a:t>Practices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D145-DC49-40A1-B142-E7E213D9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Michigan Hospital and Health Systems</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Dhir, Apoorv</dc:creator>
  <cp:lastModifiedBy>Michele Paoli</cp:lastModifiedBy>
  <cp:revision>2</cp:revision>
  <dcterms:created xsi:type="dcterms:W3CDTF">2019-09-18T13:07:00Z</dcterms:created>
  <dcterms:modified xsi:type="dcterms:W3CDTF">2019-09-18T13:07:00Z</dcterms:modified>
</cp:coreProperties>
</file>