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731" w:rsidRPr="000464BE" w:rsidRDefault="00E96731">
      <w:pPr>
        <w:rPr>
          <w:rFonts w:cstheme="minorHAnsi"/>
          <w:sz w:val="24"/>
          <w:szCs w:val="24"/>
        </w:rPr>
      </w:pPr>
      <w:bookmarkStart w:id="0" w:name="_GoBack"/>
      <w:bookmarkEnd w:id="0"/>
      <w:r w:rsidRPr="000464BE">
        <w:rPr>
          <w:rFonts w:cstheme="minorHAnsi"/>
          <w:sz w:val="24"/>
          <w:szCs w:val="24"/>
        </w:rPr>
        <w:t>Lamont Wilkins</w:t>
      </w:r>
    </w:p>
    <w:p w:rsidR="009536B4" w:rsidRPr="000464BE" w:rsidRDefault="00E96731">
      <w:pPr>
        <w:rPr>
          <w:rFonts w:cstheme="minorHAnsi"/>
          <w:sz w:val="24"/>
          <w:szCs w:val="24"/>
        </w:rPr>
      </w:pPr>
      <w:r w:rsidRPr="000464BE">
        <w:rPr>
          <w:rFonts w:cstheme="minorHAnsi"/>
          <w:sz w:val="24"/>
          <w:szCs w:val="24"/>
        </w:rPr>
        <w:t xml:space="preserve">2018 Endourological Society </w:t>
      </w:r>
      <w:r w:rsidR="00DC636E" w:rsidRPr="000464BE">
        <w:rPr>
          <w:rFonts w:cstheme="minorHAnsi"/>
          <w:sz w:val="24"/>
          <w:szCs w:val="24"/>
        </w:rPr>
        <w:t>Scholarship -</w:t>
      </w:r>
      <w:r w:rsidRPr="000464BE">
        <w:rPr>
          <w:rFonts w:cstheme="minorHAnsi"/>
          <w:sz w:val="24"/>
          <w:szCs w:val="24"/>
        </w:rPr>
        <w:t xml:space="preserve"> Project Summary</w:t>
      </w:r>
    </w:p>
    <w:p w:rsidR="00E96731" w:rsidRPr="000464BE" w:rsidRDefault="00E96731">
      <w:pPr>
        <w:rPr>
          <w:rFonts w:cstheme="minorHAnsi"/>
          <w:sz w:val="24"/>
          <w:szCs w:val="24"/>
        </w:rPr>
      </w:pPr>
      <w:r w:rsidRPr="000464BE">
        <w:rPr>
          <w:rFonts w:cstheme="minorHAnsi"/>
          <w:sz w:val="24"/>
          <w:szCs w:val="24"/>
        </w:rPr>
        <w:t>Mentor: Dr. Manoj Monga</w:t>
      </w:r>
    </w:p>
    <w:p w:rsidR="00E96731" w:rsidRPr="000464BE" w:rsidRDefault="00E96731" w:rsidP="00E96731">
      <w:pPr>
        <w:jc w:val="center"/>
        <w:rPr>
          <w:rFonts w:cstheme="minorHAnsi"/>
          <w:i/>
          <w:sz w:val="24"/>
          <w:szCs w:val="24"/>
        </w:rPr>
      </w:pPr>
      <w:r w:rsidRPr="000464BE">
        <w:rPr>
          <w:rFonts w:cstheme="minorHAnsi"/>
          <w:i/>
          <w:sz w:val="24"/>
          <w:szCs w:val="24"/>
        </w:rPr>
        <w:t>Characterization of Microbiome Dysbiosis in Urinary Stone Disease Patients</w:t>
      </w:r>
    </w:p>
    <w:p w:rsidR="008D4911" w:rsidRPr="000464BE" w:rsidRDefault="008D4911" w:rsidP="008D4911">
      <w:pPr>
        <w:tabs>
          <w:tab w:val="left" w:pos="8460"/>
        </w:tabs>
        <w:jc w:val="both"/>
        <w:rPr>
          <w:rFonts w:cstheme="minorHAnsi"/>
          <w:sz w:val="24"/>
          <w:szCs w:val="24"/>
        </w:rPr>
      </w:pPr>
      <w:r w:rsidRPr="000464BE">
        <w:rPr>
          <w:rFonts w:cstheme="minorHAnsi"/>
          <w:sz w:val="24"/>
          <w:szCs w:val="24"/>
        </w:rPr>
        <w:t xml:space="preserve">Human studies evaluating the introduction of oxalate-degrading microbes via various probiotic formulations that included obligate and facultative oxalate degraders such as </w:t>
      </w:r>
      <w:r w:rsidRPr="000464BE">
        <w:rPr>
          <w:rFonts w:cstheme="minorHAnsi"/>
          <w:i/>
          <w:sz w:val="24"/>
          <w:szCs w:val="24"/>
        </w:rPr>
        <w:t>Oxalobacter formigenes,</w:t>
      </w:r>
      <w:r w:rsidRPr="000464BE">
        <w:rPr>
          <w:rFonts w:cstheme="minorHAnsi"/>
          <w:sz w:val="24"/>
          <w:szCs w:val="24"/>
        </w:rPr>
        <w:t xml:space="preserve"> </w:t>
      </w:r>
      <w:r w:rsidRPr="000464BE">
        <w:rPr>
          <w:rFonts w:cstheme="minorHAnsi"/>
          <w:i/>
          <w:sz w:val="24"/>
          <w:szCs w:val="24"/>
        </w:rPr>
        <w:t>Lactobacillus, Bifidobacterium, and Enterococcus</w:t>
      </w:r>
      <w:r w:rsidRPr="000464BE">
        <w:rPr>
          <w:rFonts w:cstheme="minorHAnsi"/>
          <w:sz w:val="24"/>
          <w:szCs w:val="24"/>
        </w:rPr>
        <w:t xml:space="preserve"> have only produced temporary reductions in urinary oxalate levels, or none at all.</w:t>
      </w:r>
      <w:r w:rsidRPr="000464BE">
        <w:rPr>
          <w:rFonts w:cstheme="minorHAnsi"/>
          <w:sz w:val="24"/>
          <w:szCs w:val="24"/>
        </w:rPr>
        <w:fldChar w:fldCharType="begin"/>
      </w:r>
      <w:r w:rsidRPr="000464BE">
        <w:rPr>
          <w:rFonts w:cstheme="minorHAnsi"/>
          <w:sz w:val="24"/>
          <w:szCs w:val="24"/>
        </w:rPr>
        <w:instrText xml:space="preserve"> ADDIN ZOTERO_ITEM CSL_CITATION {"citationID":"CWETLe1b","properties":{"formattedCitation":"{\\rtf \\super 11,13,14\\nosupersub{}}","plainCitation":"11,13,14"},"citationItems":[{"id":3135,"uris":["http://zotero.org/users/2554206/items/I9EQFE92"],"uri":["http://zotero.org/users/2554206/items/I9EQFE92"],"itemData":{"id":3135,"type":"article-journal","title":"Reduction of oxaluria after an oral course of lactic acid bacteria at high concentration","container-title":"Kidney International","page":"1097-1105","volume":"60","issue":"3","source":"PubMed","abstract":"BACKGROUND: Hyperoxaluria is a major risk factor for renal stones, and in most cases, it appears to be sustained by increased dietary load or increased intestinal absorption. Previous studies have shown that components of the endogenous digestive microflora, in particular Oxalobacter formigenes, utilize oxalate in the gut, thus limiting its absorption. We tested the hypothesis of whether oxaluria can be reduced by means of reducing intestinal absorption through feeding a mixture of freeze-dried lactic acid bacteria.\nMETHODS: Six patients with idiopathic calcium-oxalate urolithiasis and mild hyperoxaluria (&gt;40 mg/24 h) received daily a mixture containing 8 x 10(11) freeze-dried lactic acid bacteria (L. acidophilus, L. plantarum, L. brevis, S. thermophilus, B. infantis) for four weeks. The 24-hour urinary excretion of oxalate was determined at the end of the study period and then one month after ending the treatment. The ability of bacteria to degrade oxalate and grow in oxalate-containing media, and the gene expression of Ox1T, an enzyme that catalyzes the transmembrane exchange of oxalate, also were investigated.\nRESULTS: The treatment resulted in a great reduction of the 24-hour excretion of oxalate in all six patients enrolled. Mean levels +/- SD were 33.5 +/- 15.9 mg/24 h at the end of the study period and 28.3 +/- 14.6 mg/24 h one month after treatment was interrupted compared with baseline values of 55.5 +/- 19.6 mg/24 h (P &lt; 0.05). The treatment was associated with a strong reduction of the fecal excretion of oxalate in the two patients tested. Two bacterial strains among those used for the treatment (L. acidophilus and S. thermophilus) proved in vitro to degrade oxalate effectively, but their growth was somewhat inhibited by oxalate. One strain (B. infantis) showed a quite good degrading activity and grew rapidly in the oxalate-containing medium. L. plantarum and L. brevis showed a modest ability to degrade oxalate even though they grew significantly in oxalate-containing medium. No strain expressed the Ox1T gene.\nCONCLUSIONS: The urinary excretion of oxalate, a major risk factor for renal stone formation and growth in patients with idiopathic calcium-oxalate urolithiasis, can be greatly reduced with treatment using a high concentration of freeze-dried lactic acid bacteria. We postulate that the biological manipulation of the endogenous digestive microflora can be a novel approach for the prevention of urinary stone formation.","DOI":"10.1046/j.1523-1755.2001.0600031097.x","ISSN":"0085-2538","note":"PMID: 11532105","journalAbbreviation":"Kidney Int.","language":"eng","author":[{"family":"Campieri","given":"C."},{"family":"Campieri","given":"M."},{"family":"Bertuzzi","given":"V."},{"family":"Swennen","given":"E."},{"family":"Matteuzzi","given":"D."},{"family":"Stefoni","given":"S."},{"family":"Pirovano","given":"F."},{"family":"Centi","given":"C."},{"family":"Ulisse","given":"S."},{"family":"Famularo","given":"G."},{"family":"De Simone","given":"C."}],"issued":{"date-parts":[["2001",9]]}}},{"id":3137,"uris":["http://zotero.org/users/2554206/items/39XPARAZ"],"uri":["http://zotero.org/users/2554206/items/39XPARAZ"],"itemData":{"id":3137,"type":"article-journal","title":"Diet, but not oral probiotics, effectively reduces urinary oxalate excretion and calciumoxalate supersaturation","container-title":"Kidney international","page":"1178-1185","volume":"78","issue":"11","source":"PubMed Central","abstract":"We examined the effect of a controlled diet and two probiotic preparations on urinary oxalate excretion, a risk factor for calcium oxalate kidney stone formation, in patients with mild hyperoxaluria. Patients were randomized to a placebo, a probiotic, or a synbiotic preparation. This tested whether these probiotic preparations can increase oxalate metabolism in the intestine and/or decrease oxalate absorption from the gut. Patients were maintained on a controlled diet to remove the confounding variable of differing oxalate intake from food. Urinary oxalate excretion and calcium oxalate supersaturation on the controlled diet were significantly lower compared with baseline on a free-choice diet. Neither study preparation reduced urinary oxalate excretion nor calcium oxalate supersaturation. Fecal lactobacilli colony counts increased on both preparations, whereas enterococcal and yeast colony counts were increased on the synbiotic. Total urine volume and the excretion of oxalate and calcium were all strong independent determinants of urinary calcium oxalate supersaturation. Hence, dietary oxalate restriction reduced urinary oxalate excretion, but the tested probiotics did not influence urinary oxalate levels in patients on a restricted oxalate diet. However, this study suggests that dietary oxalate restriction is useful for kidney stone prevention.","DOI":"10.1038/ki.2010.310","ISSN":"0085-2538","note":"PMID: 20736987\nPMCID: PMC3923490","journalAbbreviation":"Kidney Int","author":[{"family":"Lieske","given":"John C."},{"family":"Tremaine","given":"William J."},{"family":"De Simone","given":"Claudio"},{"family":"O’Connor","given":"Helen M."},{"family":"Li","given":"Xujian"},{"family":"Bergstralh","given":"Eric J."},{"family":"Goldfarb","given":"David S."}],"issued":{"date-parts":[["2010",12]]}}},{"id":3151,"uris":["http://zotero.org/users/2554206/items/M4DMHFE9"],"uri":["http://zotero.org/users/2554206/items/M4DMHFE9"],"itemData":{"id":3151,"type":"article-journal","title":"A randomised Phase I/II trial to evaluate the efficacy and safety of orally administered Oxalobacter formigenes to treat primary hyperoxaluria","container-title":"Pediatric Nephrology (Berlin, Germany)","page":"781-790","volume":"32","issue":"5","source":"PubMed","abstract":"BACKGROUND: Primary hyperoxaluria (PH) is a rare, genetic disorder which involves the overproduction of endogenous oxalate, leading to hyperoxaluria, recurrent urolithiasis and/or progressive nephrocalcinosis and eventually resulting in kidney failure and systemic oxalosis. The aim of this trial was to investigate whether treatment involving an oxalate-metabolising bacterium (Oxalobacter formigenes) could reduce urinary oxalate excretion in PH patients.\nMETHODS: The efficacy and safety of O. formigenes (Oxabact® OC5; OxThera AB, Stockholm, Sweden) was evaluated in a randomised, placebo-controlled, double-blind study for 8 weeks. The primary objective was reduction in urinary oxalate excretion (Uox). Secondary objectives included faecal O. formigenes count and decrease in plasma oxalate concentration (Pox).\nRESULTS: Twenty-eight patients randomised 1:1 to the treatment group (OC5) or the placebo group completed the study. After 8 weeks of treatment, there was no significant difference in the change in Uox (mmol/24 h/1.73 m2) between the groups (OC5: +0.042, placebo: -0.140). Post-hoc analysis showed a statistically significant increase in Uox per urinary creatinine excretion in the OC5 group (OC5: +5.41, placebo: -15.96; p = 0.030). Change in Pox from baseline was not significantly different between groups (p = 0.438). The O. formigenes cell count was significantly increased in OC5-treated patients (p &lt; 0.001) versus placebo. The treatment response to O. formigenes was related to individual stage of kidney deterioration, and Pox was directly correlated to kidney function, even for early-stage patients (chronic kidney disease stage 1). No safety issues were observed.\nCONCLUSIONS: Treatment with OC5 did not significantly reduce Uox or Pox over 8 weeks of treatment. The treatment was well tolerated and successfully delivered to the gastrointestinal tract.","DOI":"10.1007/s00467-016-3553-8","ISSN":"1432-198X","note":"PMID: 27924398","journalAbbreviation":"Pediatr. Nephrol.","language":"eng","author":[{"family":"Hoppe","given":"Bernd"},{"family":"Niaudet","given":"Patrick"},{"family":"Salomon","given":"Rémi"},{"family":"Harambat","given":"Jérôme"},{"family":"Hulton","given":"Sally-Anne"},{"family":"Van't Hoff","given":"William"},{"family":"Moochhala","given":"Shabbir H."},{"family":"Deschênes","given":"Georges"},{"family":"Lindner","given":"Elisabeth"},{"family":"Sjögren","given":"Anna"},{"family":"Cochat","given":"Pierre"}],"issued":{"date-parts":[["2017",5]]}}}],"schema":"https://github.com/citation-style-language/schema/raw/master/csl-citation.json"} </w:instrText>
      </w:r>
      <w:r w:rsidRPr="000464BE">
        <w:rPr>
          <w:rFonts w:cstheme="minorHAnsi"/>
          <w:sz w:val="24"/>
          <w:szCs w:val="24"/>
        </w:rPr>
        <w:fldChar w:fldCharType="end"/>
      </w:r>
      <w:r w:rsidRPr="000464BE">
        <w:rPr>
          <w:rFonts w:cstheme="minorHAnsi"/>
          <w:sz w:val="24"/>
          <w:szCs w:val="24"/>
        </w:rPr>
        <w:t xml:space="preserve"> Recently, it has been shown that whole-community microbial transplants from a mammalian herbivore was capable of providing a persistent reduction in urinary oxalate levels which is indicative of the risk of kidney stone formation. Furthermore, it has now been shown that patients with USD have genera in their gut microbiota that are differentially abundant compared to healthy counterparts.  These data suggest that community based probiotics and the understanding of the gut microbiome as a whole would be more effective than currently available probiotics that focus on oxalate-degrading bacteria alone for the treatment of urinary stone disease (USD). </w:t>
      </w:r>
    </w:p>
    <w:p w:rsidR="008D4911" w:rsidRPr="000464BE" w:rsidRDefault="008D4911" w:rsidP="008D4911">
      <w:pPr>
        <w:tabs>
          <w:tab w:val="left" w:pos="8460"/>
        </w:tabs>
        <w:jc w:val="both"/>
        <w:rPr>
          <w:rFonts w:cstheme="minorHAnsi"/>
          <w:sz w:val="24"/>
          <w:szCs w:val="24"/>
        </w:rPr>
      </w:pPr>
      <w:r w:rsidRPr="000464BE">
        <w:rPr>
          <w:rFonts w:cstheme="minorHAnsi"/>
          <w:sz w:val="24"/>
          <w:szCs w:val="24"/>
        </w:rPr>
        <w:t xml:space="preserve">In a preliminary clinical study examining the gut and urinary microbiota from USD patients and healthy counterparts, it was discovered that healthy individuals harbored a group of potentially probiotic bacteria not seen in patients with USD.  Furthermore, the USD cohort harbored an even greater number of potentially dysbiotic bacteria in their microbiota.  These observations were consistent for both the gut and urinary microbiota.  These data set up the general hypothesis that the human microbiota can contribute to disease either through the loss of probiotic bacteria or through the gain of dysbiotic bacteria.  It is important to distinguish which hypothesis is more accurate to develop effective bacteriotherapies.  If a disease results from a loss of probiotic bacteria, probiotics that include the bacteria lost would be effective.  If a disease results from the gain of dysbiotic bacteria, antibiotics may be more effective.  </w:t>
      </w:r>
      <w:r w:rsidRPr="000464BE">
        <w:rPr>
          <w:rFonts w:cstheme="minorHAnsi"/>
          <w:sz w:val="24"/>
          <w:szCs w:val="24"/>
        </w:rPr>
        <w:lastRenderedPageBreak/>
        <w:t xml:space="preserve">However, it is likely, as our data </w:t>
      </w:r>
      <w:r w:rsidR="000464BE" w:rsidRPr="000464BE">
        <w:rPr>
          <w:rFonts w:cstheme="minorHAnsi"/>
          <w:sz w:val="24"/>
          <w:szCs w:val="24"/>
        </w:rPr>
        <w:t>indicate</w:t>
      </w:r>
      <w:r w:rsidRPr="000464BE">
        <w:rPr>
          <w:rFonts w:cstheme="minorHAnsi"/>
          <w:sz w:val="24"/>
          <w:szCs w:val="24"/>
        </w:rPr>
        <w:t xml:space="preserve"> that a combination of strategies will be required for USD.</w:t>
      </w:r>
    </w:p>
    <w:p w:rsidR="008B6947" w:rsidRPr="000464BE" w:rsidRDefault="008D4911" w:rsidP="008B6947">
      <w:pPr>
        <w:rPr>
          <w:rFonts w:cstheme="minorHAnsi"/>
          <w:sz w:val="24"/>
          <w:szCs w:val="24"/>
        </w:rPr>
      </w:pPr>
      <w:r w:rsidRPr="000464BE">
        <w:rPr>
          <w:rFonts w:cstheme="minorHAnsi"/>
          <w:sz w:val="24"/>
          <w:szCs w:val="24"/>
        </w:rPr>
        <w:t xml:space="preserve">The </w:t>
      </w:r>
      <w:r w:rsidR="008B6947" w:rsidRPr="000464BE">
        <w:rPr>
          <w:rFonts w:cstheme="minorHAnsi"/>
          <w:sz w:val="24"/>
          <w:szCs w:val="24"/>
        </w:rPr>
        <w:t>primary aim</w:t>
      </w:r>
      <w:r w:rsidRPr="000464BE">
        <w:rPr>
          <w:rFonts w:cstheme="minorHAnsi"/>
          <w:sz w:val="24"/>
          <w:szCs w:val="24"/>
        </w:rPr>
        <w:t xml:space="preserve"> of this study was </w:t>
      </w:r>
      <w:r w:rsidR="008B6947" w:rsidRPr="000464BE">
        <w:rPr>
          <w:rFonts w:cstheme="minorHAnsi"/>
          <w:sz w:val="24"/>
          <w:szCs w:val="24"/>
        </w:rPr>
        <w:t xml:space="preserve">to develop a bioinformatic tool to characterize the contribution of the gut and urinary microbiota to USD (probiosis vs. dysbiosis). Stool and urine samples were previously collected from patients with USD at the Glickman Urology and Kidney Institute and from healthy individuals at the Clinical Research Unit, both on the main campus of the Cleveland Clinic.  DNA from all samples was extracted and the V4 region of the 16S rRNA gene was sequenced on a high-throughput Illumina MiSeq machine.  The resulting data was processed in the open-source bioinformatics pipeline QIIME. </w:t>
      </w:r>
    </w:p>
    <w:p w:rsidR="008D4911" w:rsidRPr="000464BE" w:rsidRDefault="008D4911" w:rsidP="007213AD">
      <w:pPr>
        <w:rPr>
          <w:rFonts w:cstheme="minorHAnsi"/>
          <w:sz w:val="24"/>
          <w:szCs w:val="24"/>
        </w:rPr>
      </w:pPr>
      <w:r w:rsidRPr="000464BE">
        <w:rPr>
          <w:rFonts w:cstheme="minorHAnsi"/>
          <w:sz w:val="24"/>
          <w:szCs w:val="24"/>
        </w:rPr>
        <w:t xml:space="preserve">For the current study, </w:t>
      </w:r>
      <w:r w:rsidR="0018547A" w:rsidRPr="000464BE">
        <w:rPr>
          <w:rFonts w:cstheme="minorHAnsi"/>
          <w:sz w:val="24"/>
          <w:szCs w:val="24"/>
        </w:rPr>
        <w:t xml:space="preserve">we developed a </w:t>
      </w:r>
      <w:r w:rsidRPr="000464BE">
        <w:rPr>
          <w:rFonts w:cstheme="minorHAnsi"/>
          <w:sz w:val="24"/>
          <w:szCs w:val="24"/>
        </w:rPr>
        <w:t xml:space="preserve"> bioinformatic tool that uses the results from differential abundance analysis to produce an index </w:t>
      </w:r>
      <w:r w:rsidR="0018547A" w:rsidRPr="000464BE">
        <w:rPr>
          <w:rFonts w:cstheme="minorHAnsi"/>
          <w:sz w:val="24"/>
          <w:szCs w:val="24"/>
        </w:rPr>
        <w:t xml:space="preserve">score </w:t>
      </w:r>
      <w:r w:rsidRPr="000464BE">
        <w:rPr>
          <w:rFonts w:cstheme="minorHAnsi"/>
          <w:sz w:val="24"/>
          <w:szCs w:val="24"/>
        </w:rPr>
        <w:t>of probiosis (IP) and index</w:t>
      </w:r>
      <w:r w:rsidR="0018547A" w:rsidRPr="000464BE">
        <w:rPr>
          <w:rFonts w:cstheme="minorHAnsi"/>
          <w:sz w:val="24"/>
          <w:szCs w:val="24"/>
        </w:rPr>
        <w:t xml:space="preserve"> score</w:t>
      </w:r>
      <w:r w:rsidRPr="000464BE">
        <w:rPr>
          <w:rFonts w:cstheme="minorHAnsi"/>
          <w:sz w:val="24"/>
          <w:szCs w:val="24"/>
        </w:rPr>
        <w:t xml:space="preserve"> of dysbiosis (ID), which will integrate the total number of bacterial species identified and the number enriched in either the healthy cohort (for IP) or USD cohort (I</w:t>
      </w:r>
      <w:r w:rsidR="0018547A" w:rsidRPr="000464BE">
        <w:rPr>
          <w:rFonts w:cstheme="minorHAnsi"/>
          <w:sz w:val="24"/>
          <w:szCs w:val="24"/>
        </w:rPr>
        <w:t xml:space="preserve">D).  Furthermore, the tool can </w:t>
      </w:r>
      <w:r w:rsidRPr="000464BE">
        <w:rPr>
          <w:rFonts w:cstheme="minorHAnsi"/>
          <w:sz w:val="24"/>
          <w:szCs w:val="24"/>
        </w:rPr>
        <w:t>provide a list of probiotic a</w:t>
      </w:r>
      <w:r w:rsidR="0018547A" w:rsidRPr="000464BE">
        <w:rPr>
          <w:rFonts w:cstheme="minorHAnsi"/>
          <w:sz w:val="24"/>
          <w:szCs w:val="24"/>
        </w:rPr>
        <w:t xml:space="preserve">nd dysbiotic bacteria.  </w:t>
      </w:r>
      <w:r w:rsidR="008B6947" w:rsidRPr="000464BE">
        <w:rPr>
          <w:rFonts w:cstheme="minorHAnsi"/>
          <w:sz w:val="24"/>
          <w:szCs w:val="24"/>
        </w:rPr>
        <w:t xml:space="preserve">Our hope is that this tool will serve to 1) determine the optimal course of action for bacteriotherapies designed to inhibit USD; and 2) serve as a diagnostic tool to help determine if a patient has a microbiota conducive for stone formation. </w:t>
      </w:r>
      <w:r w:rsidR="0018547A" w:rsidRPr="000464BE">
        <w:rPr>
          <w:rFonts w:cstheme="minorHAnsi"/>
          <w:sz w:val="24"/>
          <w:szCs w:val="24"/>
        </w:rPr>
        <w:t>In the future</w:t>
      </w:r>
      <w:r w:rsidR="008B6947" w:rsidRPr="000464BE">
        <w:rPr>
          <w:rFonts w:cstheme="minorHAnsi"/>
          <w:sz w:val="24"/>
          <w:szCs w:val="24"/>
        </w:rPr>
        <w:t>,</w:t>
      </w:r>
      <w:r w:rsidR="0018547A" w:rsidRPr="000464BE">
        <w:rPr>
          <w:rFonts w:cstheme="minorHAnsi"/>
          <w:sz w:val="24"/>
          <w:szCs w:val="24"/>
        </w:rPr>
        <w:t xml:space="preserve"> we plan to </w:t>
      </w:r>
      <w:r w:rsidRPr="000464BE">
        <w:rPr>
          <w:rFonts w:cstheme="minorHAnsi"/>
          <w:sz w:val="24"/>
          <w:szCs w:val="24"/>
        </w:rPr>
        <w:t xml:space="preserve">validate the bioinformatic tool using independently published data to predict if an individual has USD based on a snapshot of their stool and/or urinary microbiome and the reference lists of bacteria produced in the first step of the tool. </w:t>
      </w:r>
    </w:p>
    <w:p w:rsidR="007213AD" w:rsidRPr="000464BE" w:rsidRDefault="007213AD" w:rsidP="007213AD">
      <w:pPr>
        <w:rPr>
          <w:rFonts w:cstheme="minorHAnsi"/>
          <w:sz w:val="24"/>
          <w:szCs w:val="24"/>
        </w:rPr>
      </w:pPr>
      <w:r w:rsidRPr="000464BE">
        <w:rPr>
          <w:rFonts w:cstheme="minorHAnsi"/>
          <w:sz w:val="24"/>
          <w:szCs w:val="24"/>
        </w:rPr>
        <w:t>Lastly, I would like to thank th</w:t>
      </w:r>
      <w:r w:rsidR="00D64635" w:rsidRPr="000464BE">
        <w:rPr>
          <w:rFonts w:cstheme="minorHAnsi"/>
          <w:sz w:val="24"/>
          <w:szCs w:val="24"/>
        </w:rPr>
        <w:t>e Endourological Society for this scholarship</w:t>
      </w:r>
      <w:r w:rsidRPr="000464BE">
        <w:rPr>
          <w:rFonts w:cstheme="minorHAnsi"/>
          <w:sz w:val="24"/>
          <w:szCs w:val="24"/>
        </w:rPr>
        <w:t xml:space="preserve"> </w:t>
      </w:r>
      <w:r w:rsidR="00D64635" w:rsidRPr="000464BE">
        <w:rPr>
          <w:rFonts w:cstheme="minorHAnsi"/>
          <w:sz w:val="24"/>
          <w:szCs w:val="24"/>
        </w:rPr>
        <w:t xml:space="preserve">opportunity as it has allowed me to pursue my career and research interests as it relates to urinary stone disease. Working with Dr. </w:t>
      </w:r>
      <w:r w:rsidR="00DC636E" w:rsidRPr="000464BE">
        <w:rPr>
          <w:rFonts w:cstheme="minorHAnsi"/>
          <w:sz w:val="24"/>
          <w:szCs w:val="24"/>
        </w:rPr>
        <w:t xml:space="preserve">Manoj </w:t>
      </w:r>
      <w:r w:rsidR="00D64635" w:rsidRPr="000464BE">
        <w:rPr>
          <w:rFonts w:cstheme="minorHAnsi"/>
          <w:sz w:val="24"/>
          <w:szCs w:val="24"/>
        </w:rPr>
        <w:t>Monga at the Cleveland Clinic has truly been an invaluable</w:t>
      </w:r>
      <w:r w:rsidR="001F707A">
        <w:rPr>
          <w:rFonts w:cstheme="minorHAnsi"/>
          <w:sz w:val="24"/>
          <w:szCs w:val="24"/>
        </w:rPr>
        <w:t xml:space="preserve"> learning</w:t>
      </w:r>
      <w:r w:rsidR="00D64635" w:rsidRPr="000464BE">
        <w:rPr>
          <w:rFonts w:cstheme="minorHAnsi"/>
          <w:sz w:val="24"/>
          <w:szCs w:val="24"/>
        </w:rPr>
        <w:t xml:space="preserve"> experience. In the long </w:t>
      </w:r>
      <w:r w:rsidR="00D64635" w:rsidRPr="000464BE">
        <w:rPr>
          <w:rFonts w:cstheme="minorHAnsi"/>
          <w:sz w:val="24"/>
          <w:szCs w:val="24"/>
        </w:rPr>
        <w:lastRenderedPageBreak/>
        <w:t>term, I aspire to become a practicing urologist in an academic center. Furthermore, I hope to conduct research whether clinical or translational to promote innovation and improvements in clinical practice.</w:t>
      </w:r>
      <w:r w:rsidR="00DC636E" w:rsidRPr="000464BE">
        <w:rPr>
          <w:rFonts w:cstheme="minorHAnsi"/>
          <w:sz w:val="24"/>
          <w:szCs w:val="24"/>
        </w:rPr>
        <w:t xml:space="preserve"> </w:t>
      </w:r>
      <w:r w:rsidR="00D64635" w:rsidRPr="000464BE">
        <w:rPr>
          <w:rFonts w:cstheme="minorHAnsi"/>
          <w:sz w:val="24"/>
          <w:szCs w:val="24"/>
        </w:rPr>
        <w:t xml:space="preserve"> </w:t>
      </w:r>
    </w:p>
    <w:sectPr w:rsidR="007213AD" w:rsidRPr="00046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31"/>
    <w:rsid w:val="000464BE"/>
    <w:rsid w:val="00176EF5"/>
    <w:rsid w:val="0018547A"/>
    <w:rsid w:val="001F707A"/>
    <w:rsid w:val="00393226"/>
    <w:rsid w:val="007213AD"/>
    <w:rsid w:val="007B447C"/>
    <w:rsid w:val="008B6947"/>
    <w:rsid w:val="008D4911"/>
    <w:rsid w:val="00941595"/>
    <w:rsid w:val="009724AA"/>
    <w:rsid w:val="0098792F"/>
    <w:rsid w:val="00D23512"/>
    <w:rsid w:val="00D64635"/>
    <w:rsid w:val="00DC636E"/>
    <w:rsid w:val="00E70B72"/>
    <w:rsid w:val="00E96731"/>
    <w:rsid w:val="00F31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84A21-A389-455A-8516-DC19E1B9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Lamont</dc:creator>
  <cp:keywords/>
  <dc:description/>
  <cp:lastModifiedBy>Michele Paoli</cp:lastModifiedBy>
  <cp:revision>2</cp:revision>
  <dcterms:created xsi:type="dcterms:W3CDTF">2018-10-02T13:45:00Z</dcterms:created>
  <dcterms:modified xsi:type="dcterms:W3CDTF">2018-10-02T13:45:00Z</dcterms:modified>
</cp:coreProperties>
</file>