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04F9" w:rsidRPr="00173763" w:rsidRDefault="00CE04F9" w:rsidP="00CE04F9">
      <w:pPr>
        <w:spacing w:before="240" w:after="0" w:line="240" w:lineRule="auto"/>
        <w:jc w:val="both"/>
        <w:rPr>
          <w:b/>
          <w:sz w:val="24"/>
          <w:szCs w:val="24"/>
        </w:rPr>
      </w:pPr>
      <w:bookmarkStart w:id="0" w:name="_GoBack"/>
      <w:bookmarkEnd w:id="0"/>
      <w:r w:rsidRPr="00173763">
        <w:rPr>
          <w:b/>
          <w:sz w:val="24"/>
          <w:szCs w:val="24"/>
        </w:rPr>
        <w:t xml:space="preserve">Title: </w:t>
      </w:r>
      <w:r w:rsidR="00A22FA7" w:rsidRPr="00173763">
        <w:rPr>
          <w:b/>
          <w:sz w:val="24"/>
          <w:szCs w:val="24"/>
        </w:rPr>
        <w:t xml:space="preserve">Preliminary report on </w:t>
      </w:r>
      <w:r w:rsidRPr="00173763">
        <w:rPr>
          <w:b/>
          <w:sz w:val="24"/>
          <w:szCs w:val="24"/>
        </w:rPr>
        <w:t>Transrectal Ultrasound Guided Prostate Bi</w:t>
      </w:r>
      <w:r w:rsidR="00173763" w:rsidRPr="00173763">
        <w:rPr>
          <w:b/>
          <w:sz w:val="24"/>
          <w:szCs w:val="24"/>
        </w:rPr>
        <w:t xml:space="preserve">opsy: Comparing Peri-Prostatic </w:t>
      </w:r>
      <w:r w:rsidR="00A22FA7" w:rsidRPr="00173763">
        <w:rPr>
          <w:b/>
          <w:sz w:val="24"/>
          <w:szCs w:val="24"/>
        </w:rPr>
        <w:t>Apical Block a</w:t>
      </w:r>
      <w:r w:rsidR="00EF06E4" w:rsidRPr="00173763">
        <w:rPr>
          <w:b/>
          <w:sz w:val="24"/>
          <w:szCs w:val="24"/>
        </w:rPr>
        <w:t xml:space="preserve">nd Intra-Rectal Xylocaine Gel.  </w:t>
      </w:r>
      <w:r w:rsidR="0027239C" w:rsidRPr="00173763">
        <w:rPr>
          <w:b/>
          <w:sz w:val="24"/>
          <w:szCs w:val="24"/>
        </w:rPr>
        <w:t>(ABSTRACT)</w:t>
      </w:r>
    </w:p>
    <w:p w:rsidR="00CE04F9" w:rsidRPr="00CE04F9" w:rsidRDefault="00CE04F9" w:rsidP="00CE04F9">
      <w:pPr>
        <w:spacing w:before="240" w:after="0" w:line="240" w:lineRule="auto"/>
        <w:jc w:val="both"/>
        <w:rPr>
          <w:b/>
        </w:rPr>
      </w:pPr>
      <w:r w:rsidRPr="00CE04F9">
        <w:rPr>
          <w:b/>
        </w:rPr>
        <w:t xml:space="preserve">Student: </w:t>
      </w:r>
      <w:r w:rsidRPr="00CE04F9">
        <w:t>Gloria Okparanta</w:t>
      </w:r>
    </w:p>
    <w:p w:rsidR="00CE04F9" w:rsidRPr="00CE04F9" w:rsidRDefault="00CE04F9" w:rsidP="00CE04F9">
      <w:pPr>
        <w:spacing w:before="240" w:after="0" w:line="240" w:lineRule="auto"/>
        <w:jc w:val="both"/>
        <w:rPr>
          <w:b/>
        </w:rPr>
      </w:pPr>
      <w:r w:rsidRPr="00CE04F9">
        <w:rPr>
          <w:b/>
        </w:rPr>
        <w:t xml:space="preserve">Investigator/program director:  </w:t>
      </w:r>
      <w:r w:rsidRPr="00CE04F9">
        <w:t xml:space="preserve">Dr Ezenwa E V. MBBS, FMCS, FWACS, MPH </w:t>
      </w:r>
    </w:p>
    <w:p w:rsidR="00CE04F9" w:rsidRPr="00CE04F9" w:rsidRDefault="00CE04F9" w:rsidP="00CE04F9">
      <w:pPr>
        <w:spacing w:before="240" w:after="0" w:line="240" w:lineRule="auto"/>
        <w:jc w:val="both"/>
      </w:pPr>
      <w:r w:rsidRPr="00CE04F9">
        <w:rPr>
          <w:b/>
        </w:rPr>
        <w:t>Background:</w:t>
      </w:r>
      <w:r w:rsidRPr="00CE04F9">
        <w:t xml:space="preserve"> Transrectal ultrasound (TRUS)-guided prostate biopsy is currently the gold standard </w:t>
      </w:r>
      <w:r w:rsidR="00A22FA7">
        <w:t xml:space="preserve">for </w:t>
      </w:r>
      <w:r w:rsidRPr="00CE04F9">
        <w:t xml:space="preserve">retrieving prostate specimen for histopathological analysis. Increased number of cores is currently being used which translates to increased pain sensation during the procedure. The choice of analgesia is determined by efficacy and </w:t>
      </w:r>
      <w:r w:rsidR="00A22FA7">
        <w:t xml:space="preserve">safety. Periprostatic block is a type of anesthesia that can be used for prostate biopsy, it is usually administered at the base of the prostate (Mounts block), other anaesthesia used includes , xylocaine gel, caudal block and short acting inhalational anesthesia (Entonox).  In this study we </w:t>
      </w:r>
      <w:r w:rsidRPr="00CE04F9">
        <w:t>compare</w:t>
      </w:r>
      <w:r w:rsidR="00A22FA7">
        <w:t>d</w:t>
      </w:r>
      <w:r w:rsidRPr="00CE04F9">
        <w:t xml:space="preserve"> the analgesic effect of </w:t>
      </w:r>
      <w:r w:rsidR="00DC645D">
        <w:t xml:space="preserve">apical </w:t>
      </w:r>
      <w:r w:rsidRPr="00CE04F9">
        <w:t>peri-prostatic block against the commonly used intra-rectal xylocaine gel for prostate biopsy in Nigeria. This study has not been done among Nigeria population where the incidence of prostate cancer</w:t>
      </w:r>
      <w:r w:rsidR="00DC645D">
        <w:t xml:space="preserve"> and the volume of prostate</w:t>
      </w:r>
      <w:r w:rsidRPr="00CE04F9">
        <w:t xml:space="preserve"> is high.</w:t>
      </w:r>
    </w:p>
    <w:p w:rsidR="00CE04F9" w:rsidRPr="00CE04F9" w:rsidRDefault="00CE04F9" w:rsidP="00CE04F9">
      <w:pPr>
        <w:spacing w:before="240" w:after="0" w:line="240" w:lineRule="auto"/>
        <w:jc w:val="both"/>
        <w:rPr>
          <w:b/>
        </w:rPr>
      </w:pPr>
      <w:r w:rsidRPr="00CE04F9">
        <w:rPr>
          <w:b/>
        </w:rPr>
        <w:t>METHODOLOGY:</w:t>
      </w:r>
    </w:p>
    <w:p w:rsidR="00CE04F9" w:rsidRPr="00CE04F9" w:rsidRDefault="00CE04F9" w:rsidP="00CE04F9">
      <w:pPr>
        <w:numPr>
          <w:ilvl w:val="0"/>
          <w:numId w:val="1"/>
        </w:numPr>
        <w:spacing w:before="240" w:after="0" w:line="240" w:lineRule="auto"/>
        <w:jc w:val="both"/>
      </w:pPr>
      <w:r w:rsidRPr="00CE04F9">
        <w:t xml:space="preserve">This </w:t>
      </w:r>
      <w:r w:rsidR="002D1BAD">
        <w:t xml:space="preserve">is </w:t>
      </w:r>
      <w:r w:rsidRPr="00CE04F9">
        <w:t>a prospective simple randomized study to be</w:t>
      </w:r>
      <w:r w:rsidR="002D1BAD">
        <w:t>ing</w:t>
      </w:r>
      <w:r w:rsidRPr="00CE04F9">
        <w:t xml:space="preserve"> carried out over 6 months </w:t>
      </w:r>
    </w:p>
    <w:p w:rsidR="002D1BAD" w:rsidRDefault="00CE04F9" w:rsidP="002D1BAD">
      <w:pPr>
        <w:numPr>
          <w:ilvl w:val="0"/>
          <w:numId w:val="1"/>
        </w:numPr>
        <w:spacing w:before="240" w:after="0" w:line="240" w:lineRule="auto"/>
        <w:jc w:val="both"/>
      </w:pPr>
      <w:r w:rsidRPr="00CE04F9">
        <w:t>It involve</w:t>
      </w:r>
      <w:r w:rsidR="002D1BAD">
        <w:t>d</w:t>
      </w:r>
      <w:r w:rsidRPr="00CE04F9">
        <w:t xml:space="preserve"> consecutive patients presenting at the outpatient urology clinic of University of Benin teaching hospital Edo State Nigeria. </w:t>
      </w:r>
    </w:p>
    <w:p w:rsidR="002D1BAD" w:rsidRPr="002D1BAD" w:rsidRDefault="002D1BAD" w:rsidP="002D1BAD">
      <w:pPr>
        <w:numPr>
          <w:ilvl w:val="0"/>
          <w:numId w:val="1"/>
        </w:numPr>
        <w:spacing w:before="240" w:after="0" w:line="240" w:lineRule="auto"/>
        <w:jc w:val="both"/>
      </w:pPr>
      <w:r w:rsidRPr="002D1BAD">
        <w:t xml:space="preserve">Patients </w:t>
      </w:r>
      <w:r>
        <w:t xml:space="preserve">were  </w:t>
      </w:r>
      <w:r w:rsidRPr="002D1BAD">
        <w:t xml:space="preserve">randomized into two groups (A and B) and both the researcher and patient </w:t>
      </w:r>
      <w:r>
        <w:t xml:space="preserve">were </w:t>
      </w:r>
      <w:r w:rsidRPr="002D1BAD">
        <w:t>blinded</w:t>
      </w:r>
    </w:p>
    <w:p w:rsidR="002D1BAD" w:rsidRPr="002D1BAD" w:rsidRDefault="002D1BAD" w:rsidP="002D1BAD">
      <w:pPr>
        <w:numPr>
          <w:ilvl w:val="0"/>
          <w:numId w:val="1"/>
        </w:numPr>
        <w:spacing w:before="240" w:after="0" w:line="240" w:lineRule="auto"/>
        <w:jc w:val="both"/>
      </w:pPr>
      <w:r>
        <w:t>Group A: had</w:t>
      </w:r>
      <w:r w:rsidRPr="002D1BAD">
        <w:t xml:space="preserve"> peri-prostatic block with 1% xylocaine </w:t>
      </w:r>
    </w:p>
    <w:p w:rsidR="002D1BAD" w:rsidRPr="00CE04F9" w:rsidRDefault="002D1BAD" w:rsidP="002D1BAD">
      <w:pPr>
        <w:numPr>
          <w:ilvl w:val="0"/>
          <w:numId w:val="1"/>
        </w:numPr>
        <w:spacing w:before="240" w:after="0" w:line="240" w:lineRule="auto"/>
        <w:jc w:val="both"/>
      </w:pPr>
      <w:r>
        <w:t>Group B: had</w:t>
      </w:r>
      <w:r w:rsidRPr="002D1BAD">
        <w:t xml:space="preserve"> intra-rectal 2% xylocaine gel instillation</w:t>
      </w:r>
    </w:p>
    <w:p w:rsidR="00CE04F9" w:rsidRPr="00CE04F9" w:rsidRDefault="002D1BAD" w:rsidP="00CE04F9">
      <w:pPr>
        <w:numPr>
          <w:ilvl w:val="0"/>
          <w:numId w:val="1"/>
        </w:numPr>
        <w:spacing w:before="240" w:after="0" w:line="240" w:lineRule="auto"/>
        <w:jc w:val="both"/>
      </w:pPr>
      <w:r>
        <w:t>Ethical approval was</w:t>
      </w:r>
      <w:r w:rsidR="00CE04F9" w:rsidRPr="00CE04F9">
        <w:t xml:space="preserve"> obtained from the institutional Ethics committee</w:t>
      </w:r>
      <w:r>
        <w:t xml:space="preserve"> ( Copy attached)</w:t>
      </w:r>
      <w:r w:rsidR="00CE04F9" w:rsidRPr="00CE04F9">
        <w:t>.</w:t>
      </w:r>
    </w:p>
    <w:p w:rsidR="00CE04F9" w:rsidRPr="00CE04F9" w:rsidRDefault="002D1BAD" w:rsidP="00CE04F9">
      <w:pPr>
        <w:numPr>
          <w:ilvl w:val="0"/>
          <w:numId w:val="1"/>
        </w:numPr>
        <w:spacing w:before="240" w:after="0" w:line="240" w:lineRule="auto"/>
        <w:jc w:val="both"/>
      </w:pPr>
      <w:r>
        <w:t>Inclusion criteria included</w:t>
      </w:r>
      <w:r w:rsidR="00CE04F9" w:rsidRPr="00CE04F9">
        <w:t>:</w:t>
      </w:r>
    </w:p>
    <w:p w:rsidR="00CE04F9" w:rsidRPr="00CE04F9" w:rsidRDefault="00CE04F9" w:rsidP="00CE04F9">
      <w:pPr>
        <w:numPr>
          <w:ilvl w:val="1"/>
          <w:numId w:val="1"/>
        </w:numPr>
        <w:spacing w:before="240" w:after="0" w:line="240" w:lineRule="auto"/>
        <w:jc w:val="both"/>
      </w:pPr>
      <w:r w:rsidRPr="00CE04F9">
        <w:lastRenderedPageBreak/>
        <w:t xml:space="preserve"> Elevated prostate specific antigen (PSA) level </w:t>
      </w:r>
    </w:p>
    <w:p w:rsidR="00CE04F9" w:rsidRPr="00CE04F9" w:rsidRDefault="00CE04F9" w:rsidP="00CE04F9">
      <w:pPr>
        <w:numPr>
          <w:ilvl w:val="1"/>
          <w:numId w:val="1"/>
        </w:numPr>
        <w:spacing w:before="240" w:after="0" w:line="240" w:lineRule="auto"/>
        <w:jc w:val="both"/>
      </w:pPr>
      <w:r w:rsidRPr="00CE04F9">
        <w:t xml:space="preserve">Clinical evidence of abnormal digital rectal examination. </w:t>
      </w:r>
    </w:p>
    <w:p w:rsidR="00CE04F9" w:rsidRPr="00CE04F9" w:rsidRDefault="002D1BAD" w:rsidP="00CE04F9">
      <w:pPr>
        <w:numPr>
          <w:ilvl w:val="0"/>
          <w:numId w:val="1"/>
        </w:numPr>
        <w:spacing w:before="240" w:after="0" w:line="240" w:lineRule="auto"/>
        <w:jc w:val="both"/>
      </w:pPr>
      <w:r>
        <w:t>Exclusion criteria included</w:t>
      </w:r>
      <w:r w:rsidR="00CE04F9" w:rsidRPr="00CE04F9">
        <w:t>:</w:t>
      </w:r>
    </w:p>
    <w:p w:rsidR="00CE04F9" w:rsidRPr="00CE04F9" w:rsidRDefault="00CE04F9" w:rsidP="00CE04F9">
      <w:pPr>
        <w:numPr>
          <w:ilvl w:val="1"/>
          <w:numId w:val="1"/>
        </w:numPr>
        <w:spacing w:before="240" w:after="0" w:line="240" w:lineRule="auto"/>
        <w:jc w:val="both"/>
      </w:pPr>
      <w:r w:rsidRPr="00CE04F9">
        <w:t xml:space="preserve"> patients with painful anorectal conditions</w:t>
      </w:r>
    </w:p>
    <w:p w:rsidR="00CE04F9" w:rsidRPr="00CE04F9" w:rsidRDefault="00CE04F9" w:rsidP="00CE04F9">
      <w:pPr>
        <w:numPr>
          <w:ilvl w:val="1"/>
          <w:numId w:val="1"/>
        </w:numPr>
        <w:spacing w:before="240" w:after="0" w:line="240" w:lineRule="auto"/>
        <w:jc w:val="both"/>
      </w:pPr>
      <w:r w:rsidRPr="00CE04F9">
        <w:t xml:space="preserve">Bleeding diathesis </w:t>
      </w:r>
    </w:p>
    <w:p w:rsidR="00CE04F9" w:rsidRPr="00CE04F9" w:rsidRDefault="00CE04F9" w:rsidP="00CE04F9">
      <w:pPr>
        <w:numPr>
          <w:ilvl w:val="0"/>
          <w:numId w:val="1"/>
        </w:numPr>
        <w:spacing w:before="240" w:after="0" w:line="240" w:lineRule="auto"/>
        <w:jc w:val="both"/>
      </w:pPr>
      <w:r w:rsidRPr="00CE04F9">
        <w:t xml:space="preserve">All patients </w:t>
      </w:r>
      <w:r w:rsidR="002D1BAD">
        <w:t xml:space="preserve">had a </w:t>
      </w:r>
      <w:r w:rsidRPr="00CE04F9">
        <w:t xml:space="preserve">5 day course of prophylactic antibiotics (ciprofloxacin and metronidazole) </w:t>
      </w:r>
      <w:r w:rsidR="002D1BAD">
        <w:t>usually</w:t>
      </w:r>
      <w:r w:rsidRPr="00CE04F9">
        <w:t xml:space="preserve"> commenced a day prior to prostate biopsy.</w:t>
      </w:r>
    </w:p>
    <w:p w:rsidR="00CE04F9" w:rsidRPr="00CE04F9" w:rsidRDefault="002D1BAD" w:rsidP="00CE04F9">
      <w:pPr>
        <w:numPr>
          <w:ilvl w:val="0"/>
          <w:numId w:val="2"/>
        </w:numPr>
        <w:spacing w:before="240" w:after="0" w:line="240" w:lineRule="auto"/>
        <w:jc w:val="both"/>
      </w:pPr>
      <w:r>
        <w:t>Patients were</w:t>
      </w:r>
      <w:r w:rsidR="00CE04F9" w:rsidRPr="00CE04F9">
        <w:t xml:space="preserve">  positioned in left lateral decubitus position.</w:t>
      </w:r>
    </w:p>
    <w:p w:rsidR="00CE04F9" w:rsidRPr="00CE04F9" w:rsidRDefault="00CE04F9" w:rsidP="00CE04F9">
      <w:pPr>
        <w:numPr>
          <w:ilvl w:val="0"/>
          <w:numId w:val="2"/>
        </w:numPr>
        <w:spacing w:before="240" w:after="0" w:line="240" w:lineRule="auto"/>
        <w:jc w:val="both"/>
      </w:pPr>
      <w:r w:rsidRPr="00CE04F9">
        <w:t xml:space="preserve">With the aid of an end firing ultrasound probe with a well fitted needle guide. Apical infiltration of 10mls of 1% xylocaine </w:t>
      </w:r>
      <w:r w:rsidR="002D1BAD">
        <w:t>( 5mls on each side) was</w:t>
      </w:r>
      <w:r w:rsidRPr="00CE04F9">
        <w:t xml:space="preserve"> carried out, with a 7 inch, 22 gauge biopsy needle. </w:t>
      </w:r>
    </w:p>
    <w:p w:rsidR="00CE04F9" w:rsidRPr="00CE04F9" w:rsidRDefault="00CE04F9" w:rsidP="00CE04F9">
      <w:pPr>
        <w:numPr>
          <w:ilvl w:val="0"/>
          <w:numId w:val="2"/>
        </w:numPr>
        <w:spacing w:before="240" w:after="0" w:line="240" w:lineRule="auto"/>
        <w:jc w:val="both"/>
      </w:pPr>
      <w:r w:rsidRPr="00CE04F9">
        <w:t xml:space="preserve">Group B patients </w:t>
      </w:r>
      <w:r w:rsidR="002D1BAD">
        <w:t xml:space="preserve">had </w:t>
      </w:r>
      <w:r w:rsidRPr="00CE04F9">
        <w:t>10mls of intra-rectal xylocaine gel instillation before insertion of the ultrasound probe.</w:t>
      </w:r>
    </w:p>
    <w:p w:rsidR="00CE04F9" w:rsidRPr="00CE04F9" w:rsidRDefault="00CE04F9" w:rsidP="00CE04F9">
      <w:pPr>
        <w:numPr>
          <w:ilvl w:val="0"/>
          <w:numId w:val="2"/>
        </w:numPr>
        <w:spacing w:before="240" w:after="0" w:line="240" w:lineRule="auto"/>
        <w:jc w:val="both"/>
      </w:pPr>
      <w:r w:rsidRPr="00CE04F9">
        <w:t>TR</w:t>
      </w:r>
      <w:r w:rsidR="002D1BAD">
        <w:t>US guided 12 core biopsy was</w:t>
      </w:r>
      <w:r w:rsidRPr="00CE04F9">
        <w:t xml:space="preserve"> carried out on both arms of the study after 5 minutes of </w:t>
      </w:r>
      <w:r w:rsidR="002D1BAD" w:rsidRPr="00CE04F9">
        <w:t>anesthesia</w:t>
      </w:r>
      <w:r w:rsidRPr="00CE04F9">
        <w:t xml:space="preserve">. </w:t>
      </w:r>
    </w:p>
    <w:p w:rsidR="00CE04F9" w:rsidRPr="00CE04F9" w:rsidRDefault="00CE04F9" w:rsidP="00CE04F9">
      <w:pPr>
        <w:numPr>
          <w:ilvl w:val="0"/>
          <w:numId w:val="2"/>
        </w:numPr>
        <w:spacing w:before="240" w:after="0" w:line="240" w:lineRule="auto"/>
        <w:jc w:val="both"/>
      </w:pPr>
      <w:r w:rsidRPr="00CE04F9">
        <w:t xml:space="preserve">Pain during insertion of probe </w:t>
      </w:r>
      <w:r w:rsidR="002D1BAD">
        <w:t>and capsular penetration was</w:t>
      </w:r>
      <w:r w:rsidRPr="00CE04F9">
        <w:t xml:space="preserve"> assessed with an 11 point visual analogue scale (0= no pain and 10= most severe pain possible). Patients </w:t>
      </w:r>
      <w:r w:rsidR="00F107C0">
        <w:t xml:space="preserve">were </w:t>
      </w:r>
      <w:r w:rsidRPr="00CE04F9">
        <w:t xml:space="preserve">observed for an hour post biopsy before discharge. </w:t>
      </w:r>
    </w:p>
    <w:p w:rsidR="00CE04F9" w:rsidRPr="00CE04F9" w:rsidRDefault="00F107C0" w:rsidP="00CE04F9">
      <w:pPr>
        <w:numPr>
          <w:ilvl w:val="0"/>
          <w:numId w:val="2"/>
        </w:numPr>
        <w:spacing w:before="240" w:after="0" w:line="240" w:lineRule="auto"/>
        <w:jc w:val="both"/>
      </w:pPr>
      <w:r>
        <w:t>Patients were</w:t>
      </w:r>
      <w:r w:rsidR="00CE04F9" w:rsidRPr="00CE04F9">
        <w:t xml:space="preserve"> followed up in outpatient clinic  to assess for complications.</w:t>
      </w:r>
    </w:p>
    <w:p w:rsidR="00CE04F9" w:rsidRDefault="00CE04F9" w:rsidP="00CE04F9">
      <w:pPr>
        <w:numPr>
          <w:ilvl w:val="0"/>
          <w:numId w:val="2"/>
        </w:numPr>
        <w:spacing w:before="240" w:after="0" w:line="240" w:lineRule="auto"/>
        <w:jc w:val="both"/>
      </w:pPr>
      <w:r w:rsidRPr="00CE04F9">
        <w:t xml:space="preserve">Data </w:t>
      </w:r>
      <w:r w:rsidR="00F107C0">
        <w:t xml:space="preserve">was </w:t>
      </w:r>
      <w:r w:rsidRPr="00CE04F9">
        <w:t>collected using a researcher administered proforma and analyzed using statistical package for social sciences (SPSS) version 21.0.</w:t>
      </w:r>
    </w:p>
    <w:p w:rsidR="00F107C0" w:rsidRPr="00F107C0" w:rsidRDefault="00F107C0" w:rsidP="00F107C0">
      <w:pPr>
        <w:spacing w:before="240" w:after="0" w:line="240" w:lineRule="auto"/>
        <w:jc w:val="both"/>
        <w:rPr>
          <w:b/>
          <w:sz w:val="24"/>
          <w:szCs w:val="24"/>
        </w:rPr>
      </w:pPr>
      <w:r w:rsidRPr="00F107C0">
        <w:rPr>
          <w:b/>
          <w:sz w:val="24"/>
          <w:szCs w:val="24"/>
        </w:rPr>
        <w:t xml:space="preserve">RESULT </w:t>
      </w:r>
    </w:p>
    <w:p w:rsidR="00AC39CD" w:rsidRDefault="00CE04F9">
      <w:pPr>
        <w:spacing w:before="240" w:after="0" w:line="240" w:lineRule="auto"/>
        <w:jc w:val="both"/>
      </w:pPr>
      <w:r>
        <w:t>A total of 42 patients who met inclusion criteria were recruited for the study</w:t>
      </w:r>
      <w:r w:rsidR="00AC39CD">
        <w:t xml:space="preserve"> so far. There </w:t>
      </w:r>
      <w:r w:rsidR="00F107C0">
        <w:t>is an extra 20 patient</w:t>
      </w:r>
      <w:r w:rsidR="00AC39CD">
        <w:t xml:space="preserve"> whose data have been collected</w:t>
      </w:r>
      <w:r w:rsidR="00F107C0">
        <w:t xml:space="preserve"> but histology report is yet to be ready hence not included in this report.  Thus binging it to a total data collected so far to 62</w:t>
      </w:r>
      <w:r w:rsidR="00AC39CD">
        <w:t xml:space="preserve"> out of sample size of 90.</w:t>
      </w:r>
    </w:p>
    <w:p w:rsidR="000B719B" w:rsidRDefault="00AC39CD">
      <w:pPr>
        <w:spacing w:before="240" w:after="0" w:line="240" w:lineRule="auto"/>
        <w:jc w:val="both"/>
      </w:pPr>
      <w:r>
        <w:lastRenderedPageBreak/>
        <w:t>Out of th</w:t>
      </w:r>
      <w:r w:rsidR="003E0279">
        <w:t xml:space="preserve">e 42 patients analyzed so far, </w:t>
      </w:r>
      <w:r w:rsidR="00CE04F9">
        <w:t>21</w:t>
      </w:r>
      <w:r>
        <w:t xml:space="preserve"> was </w:t>
      </w:r>
      <w:r w:rsidR="00CE04F9">
        <w:t xml:space="preserve">in each arm of the study. The mean (SD) age of respondents in groups (A) and (B) was 69.0 (7.9) and 68.8 (7.8) years respectively.  </w:t>
      </w:r>
    </w:p>
    <w:p w:rsidR="000B719B" w:rsidRDefault="00CE04F9">
      <w:pPr>
        <w:spacing w:before="240" w:after="0" w:line="240" w:lineRule="auto"/>
        <w:jc w:val="both"/>
        <w:rPr>
          <w:rFonts w:eastAsia="Calibri"/>
          <w:i/>
        </w:rPr>
      </w:pPr>
      <w:r>
        <w:rPr>
          <w:rFonts w:eastAsia="Calibri"/>
        </w:rPr>
        <w:t>There was no significant difference in the mean (SD) pain score during probe insertion between groups (A) 3.7 (1.8) and (B) 4.2 (1.8) of the study population (p=0.352). However,</w:t>
      </w:r>
      <w:r>
        <w:rPr>
          <w:rFonts w:eastAsia="Calibri"/>
          <w:i/>
        </w:rPr>
        <w:t xml:space="preserve"> </w:t>
      </w:r>
      <w:r>
        <w:rPr>
          <w:rFonts w:eastAsia="Calibri"/>
        </w:rPr>
        <w:t>there was a significant difference in the mean (SD) pain score during capsular penetration between groups (A) 3.2 (1.5) and (B) 6.0 (2.2) of the study population (p&lt;0.0001).</w:t>
      </w:r>
    </w:p>
    <w:p w:rsidR="000B719B" w:rsidRDefault="00CE04F9">
      <w:pPr>
        <w:spacing w:before="240" w:after="0" w:line="240" w:lineRule="auto"/>
        <w:jc w:val="both"/>
      </w:pPr>
      <w:r>
        <w:t>Thirteen (61.9%) and 12 (57.15%) patients in groups (A) and (B) respectively had malignancy. There was no statistically significant difference in the complication rates between the two groups</w:t>
      </w:r>
      <w:r w:rsidR="00EF06E4">
        <w:t xml:space="preserve"> so far</w:t>
      </w:r>
      <w:r>
        <w:t>.</w:t>
      </w:r>
    </w:p>
    <w:p w:rsidR="003E0279" w:rsidRDefault="003E0279" w:rsidP="003E0279">
      <w:pPr>
        <w:spacing w:before="240" w:after="0" w:line="240" w:lineRule="auto"/>
        <w:jc w:val="both"/>
        <w:rPr>
          <w:b/>
        </w:rPr>
      </w:pPr>
      <w:r w:rsidRPr="003E0279">
        <w:rPr>
          <w:b/>
        </w:rPr>
        <w:t>CONCLUSION:</w:t>
      </w:r>
    </w:p>
    <w:p w:rsidR="003E0279" w:rsidRPr="003E0279" w:rsidRDefault="003E0279" w:rsidP="003E0279">
      <w:pPr>
        <w:spacing w:before="240" w:after="0" w:line="240" w:lineRule="auto"/>
        <w:jc w:val="both"/>
        <w:rPr>
          <w:b/>
        </w:rPr>
      </w:pPr>
      <w:r w:rsidRPr="00FB7C95">
        <w:t>This preliminary report showed that p</w:t>
      </w:r>
      <w:r w:rsidRPr="003E0279">
        <w:t>eriprostatic nerve block provides better pain control than intra-rectal xylocaine gel during TRUS-guided prostate biopsy</w:t>
      </w:r>
      <w:r w:rsidR="007E2E31">
        <w:t xml:space="preserve"> among Nigerian </w:t>
      </w:r>
      <w:r w:rsidR="008E5C8C">
        <w:t>Patients</w:t>
      </w:r>
      <w:r w:rsidRPr="003E0279">
        <w:t xml:space="preserve">. There may be need for additional analgesic before insertion of ultrasound probe as both groups felt pain during probe insertion. </w:t>
      </w:r>
    </w:p>
    <w:p w:rsidR="003E0279" w:rsidRDefault="003E0279">
      <w:pPr>
        <w:spacing w:before="240" w:after="0" w:line="240" w:lineRule="auto"/>
        <w:jc w:val="both"/>
      </w:pPr>
    </w:p>
    <w:p w:rsidR="000B719B" w:rsidRDefault="000B719B"/>
    <w:sectPr w:rsidR="000B71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D86A38"/>
    <w:multiLevelType w:val="hybridMultilevel"/>
    <w:tmpl w:val="60FE5BBE"/>
    <w:lvl w:ilvl="0" w:tplc="F690A0CA">
      <w:start w:val="1"/>
      <w:numFmt w:val="bullet"/>
      <w:lvlText w:val="•"/>
      <w:lvlJc w:val="left"/>
      <w:pPr>
        <w:tabs>
          <w:tab w:val="num" w:pos="720"/>
        </w:tabs>
        <w:ind w:left="720" w:hanging="360"/>
      </w:pPr>
      <w:rPr>
        <w:rFonts w:ascii="Arial" w:hAnsi="Arial" w:hint="default"/>
      </w:rPr>
    </w:lvl>
    <w:lvl w:ilvl="1" w:tplc="09F084E6" w:tentative="1">
      <w:start w:val="1"/>
      <w:numFmt w:val="bullet"/>
      <w:lvlText w:val="•"/>
      <w:lvlJc w:val="left"/>
      <w:pPr>
        <w:tabs>
          <w:tab w:val="num" w:pos="1440"/>
        </w:tabs>
        <w:ind w:left="1440" w:hanging="360"/>
      </w:pPr>
      <w:rPr>
        <w:rFonts w:ascii="Arial" w:hAnsi="Arial" w:hint="default"/>
      </w:rPr>
    </w:lvl>
    <w:lvl w:ilvl="2" w:tplc="E0BE6EDA" w:tentative="1">
      <w:start w:val="1"/>
      <w:numFmt w:val="bullet"/>
      <w:lvlText w:val="•"/>
      <w:lvlJc w:val="left"/>
      <w:pPr>
        <w:tabs>
          <w:tab w:val="num" w:pos="2160"/>
        </w:tabs>
        <w:ind w:left="2160" w:hanging="360"/>
      </w:pPr>
      <w:rPr>
        <w:rFonts w:ascii="Arial" w:hAnsi="Arial" w:hint="default"/>
      </w:rPr>
    </w:lvl>
    <w:lvl w:ilvl="3" w:tplc="01486A8E" w:tentative="1">
      <w:start w:val="1"/>
      <w:numFmt w:val="bullet"/>
      <w:lvlText w:val="•"/>
      <w:lvlJc w:val="left"/>
      <w:pPr>
        <w:tabs>
          <w:tab w:val="num" w:pos="2880"/>
        </w:tabs>
        <w:ind w:left="2880" w:hanging="360"/>
      </w:pPr>
      <w:rPr>
        <w:rFonts w:ascii="Arial" w:hAnsi="Arial" w:hint="default"/>
      </w:rPr>
    </w:lvl>
    <w:lvl w:ilvl="4" w:tplc="3E329560" w:tentative="1">
      <w:start w:val="1"/>
      <w:numFmt w:val="bullet"/>
      <w:lvlText w:val="•"/>
      <w:lvlJc w:val="left"/>
      <w:pPr>
        <w:tabs>
          <w:tab w:val="num" w:pos="3600"/>
        </w:tabs>
        <w:ind w:left="3600" w:hanging="360"/>
      </w:pPr>
      <w:rPr>
        <w:rFonts w:ascii="Arial" w:hAnsi="Arial" w:hint="default"/>
      </w:rPr>
    </w:lvl>
    <w:lvl w:ilvl="5" w:tplc="ED58F8D8" w:tentative="1">
      <w:start w:val="1"/>
      <w:numFmt w:val="bullet"/>
      <w:lvlText w:val="•"/>
      <w:lvlJc w:val="left"/>
      <w:pPr>
        <w:tabs>
          <w:tab w:val="num" w:pos="4320"/>
        </w:tabs>
        <w:ind w:left="4320" w:hanging="360"/>
      </w:pPr>
      <w:rPr>
        <w:rFonts w:ascii="Arial" w:hAnsi="Arial" w:hint="default"/>
      </w:rPr>
    </w:lvl>
    <w:lvl w:ilvl="6" w:tplc="FA948DA0" w:tentative="1">
      <w:start w:val="1"/>
      <w:numFmt w:val="bullet"/>
      <w:lvlText w:val="•"/>
      <w:lvlJc w:val="left"/>
      <w:pPr>
        <w:tabs>
          <w:tab w:val="num" w:pos="5040"/>
        </w:tabs>
        <w:ind w:left="5040" w:hanging="360"/>
      </w:pPr>
      <w:rPr>
        <w:rFonts w:ascii="Arial" w:hAnsi="Arial" w:hint="default"/>
      </w:rPr>
    </w:lvl>
    <w:lvl w:ilvl="7" w:tplc="BBBE1CD2" w:tentative="1">
      <w:start w:val="1"/>
      <w:numFmt w:val="bullet"/>
      <w:lvlText w:val="•"/>
      <w:lvlJc w:val="left"/>
      <w:pPr>
        <w:tabs>
          <w:tab w:val="num" w:pos="5760"/>
        </w:tabs>
        <w:ind w:left="5760" w:hanging="360"/>
      </w:pPr>
      <w:rPr>
        <w:rFonts w:ascii="Arial" w:hAnsi="Arial" w:hint="default"/>
      </w:rPr>
    </w:lvl>
    <w:lvl w:ilvl="8" w:tplc="F16A2C2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65A823DE"/>
    <w:multiLevelType w:val="hybridMultilevel"/>
    <w:tmpl w:val="4B266968"/>
    <w:lvl w:ilvl="0" w:tplc="360E310E">
      <w:start w:val="1"/>
      <w:numFmt w:val="bullet"/>
      <w:lvlText w:val="•"/>
      <w:lvlJc w:val="left"/>
      <w:pPr>
        <w:tabs>
          <w:tab w:val="num" w:pos="720"/>
        </w:tabs>
        <w:ind w:left="720" w:hanging="360"/>
      </w:pPr>
      <w:rPr>
        <w:rFonts w:ascii="Arial" w:hAnsi="Arial" w:hint="default"/>
      </w:rPr>
    </w:lvl>
    <w:lvl w:ilvl="1" w:tplc="2F4263BC">
      <w:start w:val="1"/>
      <w:numFmt w:val="bullet"/>
      <w:lvlText w:val="•"/>
      <w:lvlJc w:val="left"/>
      <w:pPr>
        <w:tabs>
          <w:tab w:val="num" w:pos="1440"/>
        </w:tabs>
        <w:ind w:left="1440" w:hanging="360"/>
      </w:pPr>
      <w:rPr>
        <w:rFonts w:ascii="Arial" w:hAnsi="Arial" w:hint="default"/>
      </w:rPr>
    </w:lvl>
    <w:lvl w:ilvl="2" w:tplc="AE10501C" w:tentative="1">
      <w:start w:val="1"/>
      <w:numFmt w:val="bullet"/>
      <w:lvlText w:val="•"/>
      <w:lvlJc w:val="left"/>
      <w:pPr>
        <w:tabs>
          <w:tab w:val="num" w:pos="2160"/>
        </w:tabs>
        <w:ind w:left="2160" w:hanging="360"/>
      </w:pPr>
      <w:rPr>
        <w:rFonts w:ascii="Arial" w:hAnsi="Arial" w:hint="default"/>
      </w:rPr>
    </w:lvl>
    <w:lvl w:ilvl="3" w:tplc="B4B4E048" w:tentative="1">
      <w:start w:val="1"/>
      <w:numFmt w:val="bullet"/>
      <w:lvlText w:val="•"/>
      <w:lvlJc w:val="left"/>
      <w:pPr>
        <w:tabs>
          <w:tab w:val="num" w:pos="2880"/>
        </w:tabs>
        <w:ind w:left="2880" w:hanging="360"/>
      </w:pPr>
      <w:rPr>
        <w:rFonts w:ascii="Arial" w:hAnsi="Arial" w:hint="default"/>
      </w:rPr>
    </w:lvl>
    <w:lvl w:ilvl="4" w:tplc="E1A4F1A4" w:tentative="1">
      <w:start w:val="1"/>
      <w:numFmt w:val="bullet"/>
      <w:lvlText w:val="•"/>
      <w:lvlJc w:val="left"/>
      <w:pPr>
        <w:tabs>
          <w:tab w:val="num" w:pos="3600"/>
        </w:tabs>
        <w:ind w:left="3600" w:hanging="360"/>
      </w:pPr>
      <w:rPr>
        <w:rFonts w:ascii="Arial" w:hAnsi="Arial" w:hint="default"/>
      </w:rPr>
    </w:lvl>
    <w:lvl w:ilvl="5" w:tplc="ACE42F28" w:tentative="1">
      <w:start w:val="1"/>
      <w:numFmt w:val="bullet"/>
      <w:lvlText w:val="•"/>
      <w:lvlJc w:val="left"/>
      <w:pPr>
        <w:tabs>
          <w:tab w:val="num" w:pos="4320"/>
        </w:tabs>
        <w:ind w:left="4320" w:hanging="360"/>
      </w:pPr>
      <w:rPr>
        <w:rFonts w:ascii="Arial" w:hAnsi="Arial" w:hint="default"/>
      </w:rPr>
    </w:lvl>
    <w:lvl w:ilvl="6" w:tplc="8D101DD0" w:tentative="1">
      <w:start w:val="1"/>
      <w:numFmt w:val="bullet"/>
      <w:lvlText w:val="•"/>
      <w:lvlJc w:val="left"/>
      <w:pPr>
        <w:tabs>
          <w:tab w:val="num" w:pos="5040"/>
        </w:tabs>
        <w:ind w:left="5040" w:hanging="360"/>
      </w:pPr>
      <w:rPr>
        <w:rFonts w:ascii="Arial" w:hAnsi="Arial" w:hint="default"/>
      </w:rPr>
    </w:lvl>
    <w:lvl w:ilvl="7" w:tplc="1EA4F71E" w:tentative="1">
      <w:start w:val="1"/>
      <w:numFmt w:val="bullet"/>
      <w:lvlText w:val="•"/>
      <w:lvlJc w:val="left"/>
      <w:pPr>
        <w:tabs>
          <w:tab w:val="num" w:pos="5760"/>
        </w:tabs>
        <w:ind w:left="5760" w:hanging="360"/>
      </w:pPr>
      <w:rPr>
        <w:rFonts w:ascii="Arial" w:hAnsi="Arial" w:hint="default"/>
      </w:rPr>
    </w:lvl>
    <w:lvl w:ilvl="8" w:tplc="D654EF16"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19B"/>
    <w:rsid w:val="000B719B"/>
    <w:rsid w:val="00173763"/>
    <w:rsid w:val="0027239C"/>
    <w:rsid w:val="002D1BAD"/>
    <w:rsid w:val="003E0279"/>
    <w:rsid w:val="007049EF"/>
    <w:rsid w:val="007E2E31"/>
    <w:rsid w:val="008E5C8C"/>
    <w:rsid w:val="00941D31"/>
    <w:rsid w:val="00A164BB"/>
    <w:rsid w:val="00A22FA7"/>
    <w:rsid w:val="00AC39CD"/>
    <w:rsid w:val="00CE04F9"/>
    <w:rsid w:val="00DC645D"/>
    <w:rsid w:val="00EF06E4"/>
    <w:rsid w:val="00F107C0"/>
    <w:rsid w:val="00FB7C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AC55A4-6DE6-9643-8E5C-67272B896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0477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648</Words>
  <Characters>3700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Michele Paoli</cp:lastModifiedBy>
  <cp:revision>2</cp:revision>
  <dcterms:created xsi:type="dcterms:W3CDTF">2018-09-25T16:10:00Z</dcterms:created>
  <dcterms:modified xsi:type="dcterms:W3CDTF">2018-09-25T16:10:00Z</dcterms:modified>
</cp:coreProperties>
</file>